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2E" w:rsidRDefault="00BF3E2E" w:rsidP="00BF3E2E">
      <w:pPr>
        <w:pStyle w:val="Nagwek1"/>
      </w:pPr>
      <w:r>
        <w:t xml:space="preserve">ZARZĄDZENIE NR    </w:t>
      </w:r>
      <w:r w:rsidR="00916F43">
        <w:t>21/2011</w:t>
      </w:r>
      <w:r>
        <w:t xml:space="preserve">          </w:t>
      </w:r>
    </w:p>
    <w:p w:rsidR="00BF3E2E" w:rsidRDefault="00BF3E2E" w:rsidP="00BF3E2E">
      <w:pPr>
        <w:pStyle w:val="Nagwek1"/>
      </w:pPr>
      <w:r>
        <w:t>PREZYDENTA MIASTA ŚWIĘTOCHŁOWICE</w:t>
      </w:r>
    </w:p>
    <w:p w:rsidR="00BF3E2E" w:rsidRDefault="00BF3E2E" w:rsidP="00BF3E2E">
      <w:pPr>
        <w:pStyle w:val="Nagwek1"/>
      </w:pPr>
      <w:r>
        <w:t xml:space="preserve">z dnia  </w:t>
      </w:r>
      <w:r w:rsidR="00916F43">
        <w:t>22.02.2011r.</w:t>
      </w:r>
    </w:p>
    <w:p w:rsidR="00BF3E2E" w:rsidRDefault="00BF3E2E" w:rsidP="00BF3E2E">
      <w:pPr>
        <w:pStyle w:val="Nagwek3"/>
        <w:jc w:val="both"/>
      </w:pPr>
      <w:r>
        <w:t xml:space="preserve">w sprawie:  Trybu pracy Komisji </w:t>
      </w:r>
      <w:r w:rsidR="00B74E7D">
        <w:t xml:space="preserve">konkursowych </w:t>
      </w:r>
      <w:r>
        <w:t>oraz zasad przyznawania dotacji organizacjom prowadzącym działalność pożytku publicznego na realizację zadań publicznych Miasta Świętochłowice</w:t>
      </w:r>
    </w:p>
    <w:p w:rsidR="00BF3E2E" w:rsidRDefault="00BF3E2E" w:rsidP="00BF3E2E"/>
    <w:p w:rsidR="00BF3E2E" w:rsidRDefault="00BF3E2E" w:rsidP="00BF3E2E">
      <w:pPr>
        <w:pStyle w:val="tekstnormalny"/>
      </w:pPr>
      <w:r>
        <w:t xml:space="preserve">Na podstawie art. 30 ust. 1 ustawy z dnia 8 marca 1990r. o samorządzie gminnym (Dz. U Nr 142, </w:t>
      </w:r>
      <w:r>
        <w:br/>
        <w:t xml:space="preserve">poz. 1591 z </w:t>
      </w:r>
      <w:proofErr w:type="spellStart"/>
      <w:r>
        <w:t>późn</w:t>
      </w:r>
      <w:proofErr w:type="spellEnd"/>
      <w:r>
        <w:t xml:space="preserve">. zmianami) w związku z art. 11 ust. 2 ustawy z dnia 24 kwietnia 2003r. </w:t>
      </w:r>
      <w:r>
        <w:br/>
        <w:t>o działalności pożytku publicznego i o wolontariacie ( tj. z 2010r. Dz. U  Nr 234, poz. 1536),</w:t>
      </w:r>
    </w:p>
    <w:p w:rsidR="00BF3E2E" w:rsidRDefault="00BF3E2E" w:rsidP="00BF3E2E">
      <w:pPr>
        <w:pStyle w:val="Nagwek1"/>
      </w:pPr>
      <w:r>
        <w:t>zarządza się, co następuje:</w:t>
      </w:r>
    </w:p>
    <w:p w:rsidR="00BF3E2E" w:rsidRDefault="00BF3E2E" w:rsidP="00BF3E2E">
      <w:pPr>
        <w:pStyle w:val="Nagwek1"/>
      </w:pPr>
      <w:r>
        <w:t>§ 1</w:t>
      </w:r>
    </w:p>
    <w:p w:rsidR="00BF3E2E" w:rsidRDefault="00BF3E2E" w:rsidP="00BF3E2E">
      <w:pPr>
        <w:jc w:val="both"/>
        <w:rPr>
          <w:rFonts w:ascii="Arial" w:hAnsi="Arial" w:cs="Arial"/>
          <w:sz w:val="20"/>
          <w:szCs w:val="20"/>
        </w:rPr>
      </w:pPr>
    </w:p>
    <w:p w:rsidR="00BF3E2E" w:rsidRDefault="00000047" w:rsidP="00BF3E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Ustalam następujący tryb pracy Komisji </w:t>
      </w:r>
      <w:r w:rsidR="00733815">
        <w:rPr>
          <w:rFonts w:ascii="Arial" w:hAnsi="Arial" w:cs="Arial"/>
          <w:sz w:val="20"/>
          <w:szCs w:val="20"/>
        </w:rPr>
        <w:t xml:space="preserve">konkursowych </w:t>
      </w:r>
      <w:r>
        <w:rPr>
          <w:rFonts w:ascii="Arial" w:hAnsi="Arial" w:cs="Arial"/>
          <w:sz w:val="20"/>
          <w:szCs w:val="20"/>
        </w:rPr>
        <w:t>oraz zasady przyznawania dotacji organizacjom prowadzącym działalność pożytku publicznego na realizację zadań publicznych Miasta Świętochłowice.</w:t>
      </w:r>
    </w:p>
    <w:p w:rsidR="00BF3E2E" w:rsidRDefault="00BF3E2E" w:rsidP="00BF3E2E">
      <w:pPr>
        <w:jc w:val="both"/>
        <w:rPr>
          <w:rFonts w:ascii="Arial" w:hAnsi="Arial" w:cs="Arial"/>
          <w:sz w:val="20"/>
          <w:szCs w:val="20"/>
        </w:rPr>
      </w:pPr>
    </w:p>
    <w:p w:rsidR="00BF3E2E" w:rsidRDefault="00BF3E2E" w:rsidP="00BF3E2E">
      <w:pPr>
        <w:pStyle w:val="paragraf"/>
        <w:jc w:val="left"/>
      </w:pPr>
      <w:r>
        <w:t>I. Postanowienia ogólne</w:t>
      </w:r>
    </w:p>
    <w:p w:rsidR="00BF3E2E" w:rsidRDefault="00BF3E2E" w:rsidP="00BF3E2E">
      <w:pPr>
        <w:pStyle w:val="paragraf"/>
        <w:ind w:left="113"/>
        <w:jc w:val="both"/>
        <w:rPr>
          <w:b w:val="0"/>
        </w:rPr>
      </w:pPr>
      <w:r>
        <w:rPr>
          <w:b w:val="0"/>
        </w:rPr>
        <w:t>Ilekroć mowa o:</w:t>
      </w:r>
    </w:p>
    <w:p w:rsidR="00BF3E2E" w:rsidRDefault="00BF3E2E" w:rsidP="00BF3E2E">
      <w:pPr>
        <w:pStyle w:val="paragraf"/>
        <w:numPr>
          <w:ilvl w:val="0"/>
          <w:numId w:val="1"/>
        </w:numPr>
        <w:jc w:val="both"/>
        <w:rPr>
          <w:b w:val="0"/>
        </w:rPr>
      </w:pPr>
      <w:r>
        <w:t xml:space="preserve">Komórce prowadzącej - </w:t>
      </w:r>
      <w:r>
        <w:rPr>
          <w:b w:val="0"/>
        </w:rPr>
        <w:t>należy przez to rozumieć komórkę organizacyjną urzędu lub miejską jednostkę organizacyjną, które w zależności od zakresu działania, realizują procedurę przyznawania dotacji organizacjom prowadzącym działalność pożytku publicznego.</w:t>
      </w:r>
    </w:p>
    <w:p w:rsidR="00BF3E2E" w:rsidRDefault="00000047" w:rsidP="00BF3E2E">
      <w:pPr>
        <w:pStyle w:val="paragraf"/>
        <w:numPr>
          <w:ilvl w:val="0"/>
          <w:numId w:val="1"/>
        </w:numPr>
        <w:jc w:val="both"/>
        <w:rPr>
          <w:b w:val="0"/>
        </w:rPr>
      </w:pPr>
      <w:r>
        <w:t>Organizacjach</w:t>
      </w:r>
      <w:r w:rsidR="00BF3E2E">
        <w:t xml:space="preserve"> –</w:t>
      </w:r>
      <w:r w:rsidR="00BF3E2E">
        <w:rPr>
          <w:b w:val="0"/>
        </w:rPr>
        <w:t xml:space="preserve"> należy przez to rozumieć organizacj</w:t>
      </w:r>
      <w:r>
        <w:rPr>
          <w:b w:val="0"/>
        </w:rPr>
        <w:t>e</w:t>
      </w:r>
      <w:r w:rsidR="00BF3E2E">
        <w:rPr>
          <w:b w:val="0"/>
        </w:rPr>
        <w:t xml:space="preserve"> </w:t>
      </w:r>
      <w:r>
        <w:rPr>
          <w:b w:val="0"/>
        </w:rPr>
        <w:t>pozarządowe lub podmioty wymienione w art. 3 ust. 3 ustawy</w:t>
      </w:r>
      <w:r w:rsidR="00BF3E2E">
        <w:rPr>
          <w:b w:val="0"/>
        </w:rPr>
        <w:t xml:space="preserve"> z dnia 24 kwietnia 2003r. o działalności pożytku publicznego i wolontariacie.</w:t>
      </w:r>
    </w:p>
    <w:p w:rsidR="00BF3E2E" w:rsidRDefault="00BF3E2E" w:rsidP="00BF3E2E">
      <w:pPr>
        <w:pStyle w:val="paragraf"/>
        <w:numPr>
          <w:ilvl w:val="0"/>
          <w:numId w:val="1"/>
        </w:numPr>
        <w:jc w:val="both"/>
        <w:rPr>
          <w:b w:val="0"/>
        </w:rPr>
      </w:pPr>
      <w:r>
        <w:t>Komisji –</w:t>
      </w:r>
      <w:r>
        <w:rPr>
          <w:b w:val="0"/>
        </w:rPr>
        <w:t xml:space="preserve"> należy przez to rozumieć Komisję </w:t>
      </w:r>
      <w:r w:rsidR="00B74E7D">
        <w:rPr>
          <w:b w:val="0"/>
        </w:rPr>
        <w:t xml:space="preserve">konkursową </w:t>
      </w:r>
      <w:r>
        <w:rPr>
          <w:b w:val="0"/>
        </w:rPr>
        <w:t>powołaną zarządzeniem Prezydenta Miasta, opiniującą oferty na realizację zadania publicznego złożone przez Organizacje.</w:t>
      </w:r>
    </w:p>
    <w:p w:rsidR="00BF3E2E" w:rsidRDefault="00BF3E2E" w:rsidP="00BF3E2E">
      <w:pPr>
        <w:pStyle w:val="paragraf"/>
        <w:numPr>
          <w:ilvl w:val="0"/>
          <w:numId w:val="1"/>
        </w:numPr>
        <w:jc w:val="both"/>
        <w:rPr>
          <w:b w:val="0"/>
        </w:rPr>
      </w:pPr>
      <w:r>
        <w:t>Programie –</w:t>
      </w:r>
      <w:r>
        <w:rPr>
          <w:b w:val="0"/>
        </w:rPr>
        <w:t xml:space="preserve"> należy przez to rozumieć corocznie uchwalany „Program Współpracy Miasta Świętochłowice z Organizacjami Prowadzącymi działalność Pożytku Publicznego”</w:t>
      </w:r>
    </w:p>
    <w:p w:rsidR="00BF3E2E" w:rsidRDefault="00BF3E2E" w:rsidP="00BF3E2E">
      <w:pPr>
        <w:pStyle w:val="paragraf"/>
      </w:pPr>
    </w:p>
    <w:p w:rsidR="00BF3E2E" w:rsidRDefault="00BF3E2E" w:rsidP="00BF3E2E">
      <w:pPr>
        <w:pStyle w:val="paragraf"/>
        <w:jc w:val="left"/>
      </w:pPr>
      <w:r>
        <w:t>II. Ogólne zasady przyznawania dotacji (zlecania zadań)</w:t>
      </w:r>
    </w:p>
    <w:p w:rsidR="00BF3E2E" w:rsidRDefault="00BF3E2E" w:rsidP="00BF3E2E">
      <w:pPr>
        <w:jc w:val="both"/>
        <w:rPr>
          <w:rFonts w:ascii="Arial" w:hAnsi="Arial" w:cs="Arial"/>
          <w:sz w:val="20"/>
          <w:szCs w:val="20"/>
        </w:rPr>
      </w:pPr>
    </w:p>
    <w:p w:rsidR="00BF3E2E" w:rsidRDefault="00BF3E2E" w:rsidP="00BF3E2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Zlecanie Organizacjom realizacji zadań publicznych, obejmuje w pierwszej kolejności te zadania, które Program określa jako zagadnienia priorytetowe i odbywa się po przeprowadzeniu otwartego konkursu ofert, chyba że przepisy odrębne przewidują inny tryb ich zlecania.</w:t>
      </w:r>
    </w:p>
    <w:p w:rsidR="00BF3E2E" w:rsidRDefault="00BF3E2E" w:rsidP="00BF3E2E">
      <w:pPr>
        <w:pStyle w:val="Nagwek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Projekt zarządzenia w sprawie ogłoszenia otwartego konkursu ofert na realizację zadań publicznych Miasta Świętochłowice przez organizacje prowadzące działalność pożytku publicznego przygotowuje Komórka prowadząca, przekazując go do zatwierdzenia Prezydentowi Miasta.</w:t>
      </w:r>
    </w:p>
    <w:p w:rsidR="00BF3E2E" w:rsidRDefault="00BF3E2E" w:rsidP="00BF3E2E">
      <w:pPr>
        <w:pStyle w:val="paragraf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Oferty realizacji zadań publicznych przyjmowane są przez Komórkę prowadzącą w terminie ustalonym w ogłoszeniu konkursowym.</w:t>
      </w:r>
    </w:p>
    <w:p w:rsidR="00BF3E2E" w:rsidRDefault="00BF3E2E" w:rsidP="00BF3E2E">
      <w:pPr>
        <w:pStyle w:val="paragraf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Wstępnej oceny formalno – prawnej złożonych ofert dokonuje Komórka prowadząca, </w:t>
      </w:r>
      <w:r>
        <w:rPr>
          <w:b w:val="0"/>
        </w:rPr>
        <w:br/>
        <w:t>która w terminie do 7 dni występuje o usunięcie ewentualnych braków formalnych przez Organizacje.</w:t>
      </w:r>
    </w:p>
    <w:p w:rsidR="00BF3E2E" w:rsidRDefault="00BF3E2E" w:rsidP="00BF3E2E">
      <w:pPr>
        <w:pStyle w:val="paragraf"/>
        <w:numPr>
          <w:ilvl w:val="0"/>
          <w:numId w:val="2"/>
        </w:numPr>
        <w:tabs>
          <w:tab w:val="clear" w:pos="0"/>
          <w:tab w:val="left" w:pos="900"/>
        </w:tabs>
        <w:jc w:val="both"/>
        <w:rPr>
          <w:b w:val="0"/>
        </w:rPr>
      </w:pPr>
      <w:r>
        <w:rPr>
          <w:b w:val="0"/>
        </w:rPr>
        <w:lastRenderedPageBreak/>
        <w:t>W ciągu 7 dni od upłynięcia terminu składania ofert, listę Organizacji ubiegających się o dotacje, rodzaj zadań oraz wielkość dotacji Komórka prowadząca podaje do publicznej wiadomości zamieszczając na tablicy ogłoszeń Urzędu Miejskiego, oraz na stronach miejskiego portalu internetowego.</w:t>
      </w:r>
    </w:p>
    <w:p w:rsidR="00BF3E2E" w:rsidRDefault="00BF3E2E" w:rsidP="00BF3E2E">
      <w:pPr>
        <w:pStyle w:val="paragraf"/>
        <w:ind w:left="113"/>
        <w:jc w:val="left"/>
      </w:pPr>
      <w:r>
        <w:t>III. Procedura oceny i wyboru ofert</w:t>
      </w:r>
    </w:p>
    <w:p w:rsidR="00BF3E2E" w:rsidRDefault="00BF3E2E" w:rsidP="00BF3E2E">
      <w:pPr>
        <w:pStyle w:val="paragraf"/>
        <w:jc w:val="both"/>
        <w:rPr>
          <w:b w:val="0"/>
        </w:rPr>
      </w:pPr>
      <w:r>
        <w:t xml:space="preserve">   1.     Postanowienia ogólne.</w:t>
      </w:r>
      <w:r>
        <w:rPr>
          <w:b w:val="0"/>
        </w:rPr>
        <w:t xml:space="preserve"> 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Postępowanie konkursowe przeprowadza Komisja, przedkładając wyniki konkursu do zatwierdzenia Prezydentowi Miasta.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Skład Komisji zostaje każdorazowo powołany zarządzeniem Prezydenta Miasta.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Pracami Komisji kieruje Przewodniczący, a w razie jego nieobecności obowiązki przejmuje Wiceprzewodniczący Komisji.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O terminie posiedzenia Komisji jej Przewodniczący zawiadamia członków, co najmniej 3 dni przed datą posiedzenia.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 xml:space="preserve">Komisja może podejmować czynności związane z przeprowadzeniem konkursu </w:t>
      </w:r>
      <w:r>
        <w:rPr>
          <w:b w:val="0"/>
        </w:rPr>
        <w:br/>
        <w:t>w obecności, co najmniej trzech członków. W przeciwnym razie Przewodniczący Komisji wyznacza nowy termin posiedzenia Komisji.</w:t>
      </w:r>
    </w:p>
    <w:p w:rsidR="00BF3E2E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Komisja zobowiązana jest do traktowania na równych prawach wszystkich oferentów i do prowadzenia postępowania w sposób gwarantujący zachowanie zasad uczciwej konkurencji.</w:t>
      </w:r>
    </w:p>
    <w:p w:rsidR="00271F4A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 w:rsidRPr="00271F4A">
        <w:rPr>
          <w:b w:val="0"/>
        </w:rPr>
        <w:t>Przewodniczący Komisji przyjmuje od wszystkich człon</w:t>
      </w:r>
      <w:r w:rsidR="002A6B6B" w:rsidRPr="00271F4A">
        <w:rPr>
          <w:b w:val="0"/>
        </w:rPr>
        <w:t>ków komisji pisemne oświadczenia:</w:t>
      </w:r>
      <w:r w:rsidRPr="00271F4A">
        <w:rPr>
          <w:b w:val="0"/>
        </w:rPr>
        <w:t xml:space="preserve"> </w:t>
      </w:r>
      <w:r w:rsidRPr="00271F4A">
        <w:rPr>
          <w:b w:val="0"/>
        </w:rPr>
        <w:br/>
        <w:t>o niepozostawaniu z oferentami w jakiejkolwiek zależności formalnej lub nieformalnej, która mogłaby wpłynąć na bezstronność opiniowania</w:t>
      </w:r>
      <w:r w:rsidR="002A6B6B" w:rsidRPr="00271F4A">
        <w:rPr>
          <w:b w:val="0"/>
        </w:rPr>
        <w:t>, oraz o zapoznaniu się</w:t>
      </w:r>
      <w:r w:rsidR="00271F4A" w:rsidRPr="00271F4A">
        <w:rPr>
          <w:b w:val="0"/>
        </w:rPr>
        <w:t xml:space="preserve"> z obowiązującymi regulacjami prawnymi w zakresie przeprowadzania procedury konkursowej</w:t>
      </w:r>
      <w:r w:rsidRPr="00271F4A">
        <w:rPr>
          <w:b w:val="0"/>
        </w:rPr>
        <w:t xml:space="preserve">. </w:t>
      </w:r>
    </w:p>
    <w:p w:rsidR="00BF3E2E" w:rsidRPr="00271F4A" w:rsidRDefault="00BF3E2E" w:rsidP="00BF3E2E">
      <w:pPr>
        <w:pStyle w:val="paragraf"/>
        <w:numPr>
          <w:ilvl w:val="0"/>
          <w:numId w:val="3"/>
        </w:numPr>
        <w:tabs>
          <w:tab w:val="clear" w:pos="0"/>
          <w:tab w:val="clear" w:pos="473"/>
          <w:tab w:val="num" w:pos="900"/>
        </w:tabs>
        <w:ind w:left="900"/>
        <w:jc w:val="both"/>
        <w:rPr>
          <w:b w:val="0"/>
        </w:rPr>
      </w:pPr>
      <w:r w:rsidRPr="00271F4A">
        <w:rPr>
          <w:b w:val="0"/>
        </w:rPr>
        <w:t xml:space="preserve">Komisja rozwiązuje się z </w:t>
      </w:r>
      <w:r w:rsidR="00733815">
        <w:rPr>
          <w:b w:val="0"/>
        </w:rPr>
        <w:t>chwilą rozstrzygnięcia konkursu.</w:t>
      </w:r>
    </w:p>
    <w:p w:rsidR="00BF3E2E" w:rsidRDefault="00BF3E2E" w:rsidP="00BF3E2E">
      <w:pPr>
        <w:pStyle w:val="paragraf"/>
        <w:jc w:val="both"/>
      </w:pPr>
      <w:r>
        <w:rPr>
          <w:b w:val="0"/>
        </w:rPr>
        <w:t xml:space="preserve">  </w:t>
      </w:r>
      <w:r>
        <w:t xml:space="preserve">2.     Zakres przedmiotowy prac Komisji 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Procedura konkursowa w otwartym konkursie ofert składa się z dwóch etapów.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Pierwszy etap konkursu obejmuje działania związane z potwierdzeniem wymogów formalnych rozpatrywanych ofert:</w:t>
      </w:r>
    </w:p>
    <w:p w:rsidR="00BF3E2E" w:rsidRDefault="00BF3E2E" w:rsidP="00BF3E2E">
      <w:pPr>
        <w:pStyle w:val="paragraf"/>
        <w:numPr>
          <w:ilvl w:val="1"/>
          <w:numId w:val="5"/>
        </w:numPr>
        <w:tabs>
          <w:tab w:val="clear" w:pos="0"/>
          <w:tab w:val="clear" w:pos="567"/>
          <w:tab w:val="left" w:pos="1260"/>
        </w:tabs>
        <w:ind w:left="1260" w:hanging="360"/>
        <w:jc w:val="both"/>
        <w:rPr>
          <w:b w:val="0"/>
        </w:rPr>
      </w:pPr>
      <w:r>
        <w:rPr>
          <w:b w:val="0"/>
        </w:rPr>
        <w:t>Stwierdzenie prawidłowości ogłoszenia konkursu oraz określenie liczby złożonych ofert,</w:t>
      </w:r>
    </w:p>
    <w:p w:rsidR="00BF3E2E" w:rsidRDefault="00BF3E2E" w:rsidP="00BF3E2E">
      <w:pPr>
        <w:pStyle w:val="paragraf"/>
        <w:numPr>
          <w:ilvl w:val="1"/>
          <w:numId w:val="5"/>
        </w:numPr>
        <w:tabs>
          <w:tab w:val="clear" w:pos="0"/>
          <w:tab w:val="clear" w:pos="567"/>
          <w:tab w:val="left" w:pos="1260"/>
        </w:tabs>
        <w:ind w:left="1260" w:hanging="360"/>
        <w:jc w:val="both"/>
        <w:rPr>
          <w:b w:val="0"/>
        </w:rPr>
      </w:pPr>
      <w:r>
        <w:rPr>
          <w:b w:val="0"/>
        </w:rPr>
        <w:t>Ustalenie, które z ofert spełniają wymogi określone w Karcie Oceny Formalnej, stanowiącej załącznik Nr 1 do Zarządzenia.</w:t>
      </w:r>
    </w:p>
    <w:p w:rsidR="00BF3E2E" w:rsidRDefault="00BF3E2E" w:rsidP="00BF3E2E">
      <w:pPr>
        <w:pStyle w:val="paragraf"/>
        <w:numPr>
          <w:ilvl w:val="1"/>
          <w:numId w:val="5"/>
        </w:numPr>
        <w:tabs>
          <w:tab w:val="clear" w:pos="0"/>
          <w:tab w:val="clear" w:pos="567"/>
          <w:tab w:val="left" w:pos="1260"/>
        </w:tabs>
        <w:ind w:left="1260" w:hanging="360"/>
        <w:jc w:val="both"/>
        <w:rPr>
          <w:b w:val="0"/>
        </w:rPr>
      </w:pPr>
      <w:r>
        <w:rPr>
          <w:b w:val="0"/>
        </w:rPr>
        <w:t>Zakwalifikowanie ofert do drugiego etapu konkursu bądź wyznaczenie dodatkowego terminu do usunięcia braków formalnych.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473"/>
          <w:tab w:val="num" w:pos="900"/>
        </w:tabs>
        <w:ind w:left="900"/>
        <w:jc w:val="both"/>
        <w:rPr>
          <w:b w:val="0"/>
        </w:rPr>
      </w:pPr>
      <w:r>
        <w:rPr>
          <w:b w:val="0"/>
        </w:rPr>
        <w:t>Drugi etap konkursu obejmuje działania związane z oceną merytoryczną ofert:</w:t>
      </w:r>
    </w:p>
    <w:p w:rsidR="00BF3E2E" w:rsidRDefault="00BF3E2E" w:rsidP="00BF3E2E">
      <w:pPr>
        <w:pStyle w:val="paragraf"/>
        <w:numPr>
          <w:ilvl w:val="1"/>
          <w:numId w:val="6"/>
        </w:numPr>
        <w:ind w:left="1260" w:hanging="360"/>
        <w:jc w:val="both"/>
        <w:rPr>
          <w:b w:val="0"/>
        </w:rPr>
      </w:pPr>
      <w:r>
        <w:rPr>
          <w:b w:val="0"/>
        </w:rPr>
        <w:t>Przeanalizowanie treści rozpatrywanych ofert i dokonanie ich oceny w oparciu o Kartę Oceny Merytorycznej, stanowiącej załącznik Nr 2 do Zarządzenia,</w:t>
      </w:r>
    </w:p>
    <w:p w:rsidR="00BF3E2E" w:rsidRDefault="00BF3E2E" w:rsidP="00BF3E2E">
      <w:pPr>
        <w:pStyle w:val="paragraf"/>
        <w:numPr>
          <w:ilvl w:val="1"/>
          <w:numId w:val="6"/>
        </w:numPr>
        <w:ind w:left="1260" w:hanging="360"/>
        <w:jc w:val="both"/>
        <w:rPr>
          <w:b w:val="0"/>
        </w:rPr>
      </w:pPr>
      <w:r>
        <w:rPr>
          <w:b w:val="0"/>
        </w:rPr>
        <w:t>Dokonanie wyboru najkorzystniejszych ofert i przedłożenie ich do zatwierdzenia Prezydentowi Miasta.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0"/>
          <w:tab w:val="clear" w:pos="473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Z posiedzenia Komisji sporządzany jest protokół, który przedkładany jest Prezydentowi Miasta.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0"/>
          <w:tab w:val="clear" w:pos="473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Czynności związane z obsługą Komisji wykonuje Komórka prowadząca.</w:t>
      </w:r>
    </w:p>
    <w:p w:rsidR="00BF3E2E" w:rsidRDefault="005C1351" w:rsidP="00BF3E2E">
      <w:pPr>
        <w:pStyle w:val="paragraf"/>
        <w:numPr>
          <w:ilvl w:val="0"/>
          <w:numId w:val="4"/>
        </w:numPr>
        <w:tabs>
          <w:tab w:val="clear" w:pos="0"/>
          <w:tab w:val="clear" w:pos="473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 xml:space="preserve">Wyboru </w:t>
      </w:r>
      <w:r w:rsidR="00BF3E2E">
        <w:rPr>
          <w:b w:val="0"/>
        </w:rPr>
        <w:t xml:space="preserve">Organizacji, które będą realizowały zadania publiczne </w:t>
      </w:r>
      <w:r>
        <w:rPr>
          <w:b w:val="0"/>
        </w:rPr>
        <w:t>dokonuje Prezydent Miasta ,</w:t>
      </w:r>
      <w:r w:rsidR="00BF3E2E">
        <w:rPr>
          <w:b w:val="0"/>
        </w:rPr>
        <w:t>po zasięgnięciu opinii Komisji</w:t>
      </w:r>
      <w:r>
        <w:rPr>
          <w:b w:val="0"/>
        </w:rPr>
        <w:t>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0"/>
          <w:tab w:val="clear" w:pos="473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Wykaz Organizacji, zleconych zadań, na które przyznano dotacje i kwot przyznanych na realizację tych zadań sporządza i podaje do publicznej wiadomości zamieszczając na tablicy ogłoszeń Urzędu Miejskiego, oraz na stronach miejskiego portalu internetowego Komórka prowadząca.</w:t>
      </w:r>
    </w:p>
    <w:p w:rsidR="00BF3E2E" w:rsidRDefault="00BF3E2E" w:rsidP="00BF3E2E">
      <w:pPr>
        <w:pStyle w:val="paragraf"/>
        <w:numPr>
          <w:ilvl w:val="0"/>
          <w:numId w:val="4"/>
        </w:numPr>
        <w:tabs>
          <w:tab w:val="clear" w:pos="0"/>
          <w:tab w:val="clear" w:pos="473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Projekty Umów o wykonanie zadań publicznych przygotowuje Komórka prowadząca.</w:t>
      </w:r>
    </w:p>
    <w:p w:rsidR="00BF3E2E" w:rsidRDefault="00BF3E2E" w:rsidP="00BF3E2E">
      <w:pPr>
        <w:pStyle w:val="paragraf"/>
        <w:jc w:val="left"/>
      </w:pPr>
      <w:r>
        <w:lastRenderedPageBreak/>
        <w:t>IV.   Zasady rozliczania dotacji, kontrola wykonania zadania</w:t>
      </w:r>
    </w:p>
    <w:p w:rsidR="00BF3E2E" w:rsidRDefault="00BF3E2E" w:rsidP="00BF3E2E">
      <w:pPr>
        <w:pStyle w:val="paragraf"/>
        <w:numPr>
          <w:ilvl w:val="1"/>
          <w:numId w:val="4"/>
        </w:numPr>
        <w:tabs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Podstawę rozliczenia dotacji stanowić będzie zatwierdzenie Sprawozdania przez Komórk</w:t>
      </w:r>
      <w:r w:rsidR="00EA51D3">
        <w:rPr>
          <w:b w:val="0"/>
        </w:rPr>
        <w:t>ę</w:t>
      </w:r>
      <w:r>
        <w:rPr>
          <w:b w:val="0"/>
        </w:rPr>
        <w:t xml:space="preserve"> prowadząc</w:t>
      </w:r>
      <w:r w:rsidR="00EA51D3">
        <w:rPr>
          <w:b w:val="0"/>
        </w:rPr>
        <w:t>ą</w:t>
      </w:r>
      <w:r>
        <w:rPr>
          <w:b w:val="0"/>
        </w:rPr>
        <w:t>.</w:t>
      </w:r>
    </w:p>
    <w:p w:rsidR="00BF3E2E" w:rsidRDefault="00BF3E2E" w:rsidP="00BF3E2E">
      <w:pPr>
        <w:pStyle w:val="paragraf"/>
        <w:numPr>
          <w:ilvl w:val="1"/>
          <w:numId w:val="4"/>
        </w:numPr>
        <w:tabs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 xml:space="preserve">Za sprawowanie kontroli </w:t>
      </w:r>
      <w:r w:rsidR="00EA51D3">
        <w:rPr>
          <w:b w:val="0"/>
        </w:rPr>
        <w:t xml:space="preserve">i oceny realizacji zadania </w:t>
      </w:r>
      <w:r>
        <w:rPr>
          <w:b w:val="0"/>
        </w:rPr>
        <w:t xml:space="preserve">odpowiada Komórka prowadząca. </w:t>
      </w:r>
    </w:p>
    <w:p w:rsidR="00BF3E2E" w:rsidRDefault="00BF3E2E" w:rsidP="00BF3E2E">
      <w:pPr>
        <w:pStyle w:val="paragraf"/>
        <w:numPr>
          <w:ilvl w:val="1"/>
          <w:numId w:val="4"/>
        </w:numPr>
        <w:tabs>
          <w:tab w:val="clear" w:pos="0"/>
          <w:tab w:val="left" w:pos="720"/>
        </w:tabs>
        <w:ind w:left="720" w:hanging="540"/>
        <w:jc w:val="both"/>
        <w:rPr>
          <w:b w:val="0"/>
        </w:rPr>
      </w:pPr>
      <w:r>
        <w:rPr>
          <w:b w:val="0"/>
        </w:rPr>
        <w:t>O zakresie i terminie rozpoczęcia kontroli w zakresie prawidłowości wykorzystania środków publicznych otrzymanych na realizację zadania osoby upoważnione przez Prezydenta Miasta do przeprowadzenia kontroli powiadamiają Organizację na dwa dni przed jej rozpoczęciem.</w:t>
      </w:r>
    </w:p>
    <w:p w:rsidR="00BF3E2E" w:rsidRDefault="00BF3E2E" w:rsidP="00BF3E2E">
      <w:pPr>
        <w:pStyle w:val="paragraf"/>
        <w:numPr>
          <w:ilvl w:val="1"/>
          <w:numId w:val="4"/>
        </w:numPr>
        <w:tabs>
          <w:tab w:val="clear" w:pos="0"/>
          <w:tab w:val="left" w:pos="720"/>
        </w:tabs>
        <w:ind w:left="720" w:hanging="540"/>
        <w:jc w:val="both"/>
        <w:rPr>
          <w:b w:val="0"/>
        </w:rPr>
      </w:pPr>
      <w:r>
        <w:rPr>
          <w:b w:val="0"/>
        </w:rPr>
        <w:t>W zakresie kontroli dotyczącej: stanu realizacji zadania, efektywności, rzetelności i jakości wykonania zadania, kontrola wykonywana jest bez zapowiedzi.</w:t>
      </w:r>
    </w:p>
    <w:p w:rsidR="00BF3E2E" w:rsidRDefault="00BF3E2E" w:rsidP="00BF3E2E">
      <w:pPr>
        <w:pStyle w:val="paragraf"/>
        <w:numPr>
          <w:ilvl w:val="1"/>
          <w:numId w:val="4"/>
        </w:numPr>
        <w:tabs>
          <w:tab w:val="clear" w:pos="0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W przypadku, gdy kontrola prowadzona jest przed zakończeniem zadania i złożeniem sprawozdania końcowego z jego realizacji, komórka kontrolująca niezwłocznie kieruje do kontrolowanej Organizacji zalecenia pokontrolne, wskazując konieczne do usunięcia nieprawidłowości.</w:t>
      </w:r>
    </w:p>
    <w:p w:rsidR="00BF3E2E" w:rsidRDefault="00BF3E2E" w:rsidP="00BF3E2E">
      <w:pPr>
        <w:pStyle w:val="paragraf"/>
        <w:tabs>
          <w:tab w:val="clear" w:pos="0"/>
          <w:tab w:val="left" w:pos="708"/>
        </w:tabs>
        <w:ind w:left="180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540"/>
        </w:tabs>
        <w:ind w:left="113"/>
        <w:jc w:val="both"/>
      </w:pPr>
      <w:r>
        <w:t xml:space="preserve">                                                                        § </w:t>
      </w:r>
      <w:r w:rsidR="00D71563">
        <w:t>2</w:t>
      </w:r>
    </w:p>
    <w:p w:rsidR="000D67C3" w:rsidRDefault="000D67C3" w:rsidP="000D67C3">
      <w:pPr>
        <w:pStyle w:val="paragraf"/>
        <w:tabs>
          <w:tab w:val="clear" w:pos="0"/>
          <w:tab w:val="left" w:pos="540"/>
        </w:tabs>
        <w:jc w:val="both"/>
        <w:rPr>
          <w:b w:val="0"/>
        </w:rPr>
      </w:pPr>
      <w:r>
        <w:rPr>
          <w:b w:val="0"/>
        </w:rPr>
        <w:t>Traci moc zarządzenie Nr 53/08 Prezydenta Miasta Świętochłowice z dnia 18.02.2008r.</w:t>
      </w:r>
      <w:r w:rsidR="00FB5B9A">
        <w:rPr>
          <w:b w:val="0"/>
        </w:rPr>
        <w:t xml:space="preserve"> w sprawie Trybu pracy Komisji Oceniających oraz zasad przyznawania dotacji organizacjom prowadzącym działalność pożytku publicznego na realizację zadań publicznych Miasta Świętochłowice z </w:t>
      </w:r>
      <w:proofErr w:type="spellStart"/>
      <w:r w:rsidR="00FB5B9A">
        <w:rPr>
          <w:b w:val="0"/>
        </w:rPr>
        <w:t>późn</w:t>
      </w:r>
      <w:proofErr w:type="spellEnd"/>
      <w:r w:rsidR="00FB5B9A">
        <w:rPr>
          <w:b w:val="0"/>
        </w:rPr>
        <w:t>. zmianami.</w:t>
      </w:r>
    </w:p>
    <w:p w:rsidR="00FB5B9A" w:rsidRDefault="00FB5B9A" w:rsidP="000D67C3">
      <w:pPr>
        <w:pStyle w:val="paragraf"/>
        <w:tabs>
          <w:tab w:val="clear" w:pos="0"/>
          <w:tab w:val="left" w:pos="540"/>
        </w:tabs>
        <w:jc w:val="both"/>
        <w:rPr>
          <w:b w:val="0"/>
        </w:rPr>
      </w:pPr>
    </w:p>
    <w:p w:rsidR="00FB5B9A" w:rsidRPr="00FB5B9A" w:rsidRDefault="00FB5B9A" w:rsidP="000D67C3">
      <w:pPr>
        <w:pStyle w:val="paragraf"/>
        <w:tabs>
          <w:tab w:val="clear" w:pos="0"/>
          <w:tab w:val="left" w:pos="540"/>
        </w:tabs>
        <w:jc w:val="both"/>
      </w:pPr>
      <w:r w:rsidRPr="00FB5B9A">
        <w:t xml:space="preserve">                                                                         § </w:t>
      </w:r>
      <w:r w:rsidR="00D71563">
        <w:t>3</w:t>
      </w:r>
      <w:r w:rsidRPr="00FB5B9A">
        <w:t xml:space="preserve">    </w:t>
      </w:r>
    </w:p>
    <w:p w:rsidR="00BF3E2E" w:rsidRDefault="00BF3E2E" w:rsidP="00BF3E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Naczelnikowi Wydziału </w:t>
      </w:r>
      <w:r w:rsidR="00733815">
        <w:rPr>
          <w:rFonts w:ascii="Arial" w:hAnsi="Arial" w:cs="Arial"/>
          <w:sz w:val="20"/>
          <w:szCs w:val="20"/>
        </w:rPr>
        <w:t>Nadzoru Właścicielskiego</w:t>
      </w:r>
      <w:r w:rsidR="00D71563">
        <w:rPr>
          <w:rFonts w:ascii="Arial" w:hAnsi="Arial" w:cs="Arial"/>
          <w:sz w:val="20"/>
          <w:szCs w:val="20"/>
        </w:rPr>
        <w:t xml:space="preserve"> i</w:t>
      </w:r>
      <w:r w:rsidR="00D71563" w:rsidRPr="00D71563">
        <w:rPr>
          <w:rFonts w:ascii="Arial" w:hAnsi="Arial" w:cs="Arial"/>
          <w:sz w:val="20"/>
          <w:szCs w:val="20"/>
        </w:rPr>
        <w:t xml:space="preserve"> </w:t>
      </w:r>
      <w:r w:rsidR="00D71563">
        <w:rPr>
          <w:rFonts w:ascii="Arial" w:hAnsi="Arial" w:cs="Arial"/>
          <w:sz w:val="20"/>
          <w:szCs w:val="20"/>
        </w:rPr>
        <w:t>Zdrowia,</w:t>
      </w:r>
      <w:r>
        <w:rPr>
          <w:rFonts w:ascii="Arial" w:hAnsi="Arial" w:cs="Arial"/>
          <w:sz w:val="20"/>
          <w:szCs w:val="20"/>
        </w:rPr>
        <w:t xml:space="preserve"> </w:t>
      </w:r>
      <w:r w:rsidR="00733815">
        <w:rPr>
          <w:rFonts w:ascii="Arial" w:hAnsi="Arial" w:cs="Arial"/>
          <w:sz w:val="20"/>
          <w:szCs w:val="20"/>
        </w:rPr>
        <w:t xml:space="preserve">Naczelnikowi Wydziału Kultury i Sportu </w:t>
      </w:r>
      <w:r>
        <w:rPr>
          <w:rFonts w:ascii="Arial" w:hAnsi="Arial" w:cs="Arial"/>
          <w:sz w:val="20"/>
          <w:szCs w:val="20"/>
        </w:rPr>
        <w:t>oraz Dyrektorowi Ośrodka Pomocy Społecznej</w:t>
      </w:r>
      <w:r w:rsidR="00D71563">
        <w:rPr>
          <w:rFonts w:ascii="Arial" w:hAnsi="Arial" w:cs="Arial"/>
          <w:sz w:val="20"/>
          <w:szCs w:val="20"/>
        </w:rPr>
        <w:t xml:space="preserve"> w Świętochłowicach</w:t>
      </w:r>
      <w:r>
        <w:rPr>
          <w:rFonts w:ascii="Arial" w:hAnsi="Arial" w:cs="Arial"/>
          <w:sz w:val="20"/>
          <w:szCs w:val="20"/>
        </w:rPr>
        <w:t>.</w:t>
      </w:r>
    </w:p>
    <w:p w:rsidR="00BF3E2E" w:rsidRDefault="00BF3E2E" w:rsidP="00BF3E2E">
      <w:pPr>
        <w:pStyle w:val="paragraf"/>
        <w:tabs>
          <w:tab w:val="clear" w:pos="0"/>
          <w:tab w:val="left" w:pos="900"/>
        </w:tabs>
        <w:jc w:val="both"/>
        <w:rPr>
          <w:b w:val="0"/>
        </w:rPr>
      </w:pPr>
      <w:r>
        <w:rPr>
          <w:b w:val="0"/>
        </w:rPr>
        <w:t xml:space="preserve">  </w:t>
      </w:r>
    </w:p>
    <w:p w:rsidR="00BF3E2E" w:rsidRDefault="00460415" w:rsidP="00460415">
      <w:pPr>
        <w:pStyle w:val="paragraf"/>
        <w:jc w:val="left"/>
      </w:pPr>
      <w:r>
        <w:t xml:space="preserve">                                                                        </w:t>
      </w:r>
      <w:r w:rsidR="00BF3E2E">
        <w:t xml:space="preserve">§ </w:t>
      </w:r>
      <w:r w:rsidR="00D71563">
        <w:t>4</w:t>
      </w:r>
    </w:p>
    <w:p w:rsidR="00BF3E2E" w:rsidRDefault="00BF3E2E" w:rsidP="00BF3E2E">
      <w:pPr>
        <w:pStyle w:val="paragraf"/>
      </w:pPr>
    </w:p>
    <w:p w:rsidR="00BF3E2E" w:rsidRDefault="00BF3E2E" w:rsidP="00BF3E2E">
      <w:pPr>
        <w:pStyle w:val="paragraf"/>
        <w:jc w:val="left"/>
        <w:rPr>
          <w:b w:val="0"/>
        </w:rPr>
      </w:pPr>
      <w:r>
        <w:rPr>
          <w:b w:val="0"/>
        </w:rPr>
        <w:t>Zarządzenie wchodzi w życie z dniem podjęcia.</w:t>
      </w:r>
    </w:p>
    <w:p w:rsidR="00BF3E2E" w:rsidRDefault="00BF3E2E" w:rsidP="00BF3E2E">
      <w:pPr>
        <w:pStyle w:val="paragraf"/>
      </w:pPr>
    </w:p>
    <w:p w:rsidR="00BF3E2E" w:rsidRDefault="00BF3E2E" w:rsidP="00BF3E2E">
      <w:pPr>
        <w:pStyle w:val="paragraf"/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95792C" w:rsidRPr="003468EA" w:rsidRDefault="0095792C" w:rsidP="0095792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                                                  </w:t>
      </w:r>
      <w:r w:rsidRPr="003468EA">
        <w:rPr>
          <w:rFonts w:ascii="Arial" w:hAnsi="Arial"/>
          <w:sz w:val="20"/>
          <w:szCs w:val="20"/>
        </w:rPr>
        <w:t xml:space="preserve">Załącznik Nr 1 </w:t>
      </w:r>
      <w:r w:rsidRPr="003468EA">
        <w:rPr>
          <w:rFonts w:ascii="Arial" w:hAnsi="Arial"/>
          <w:sz w:val="20"/>
          <w:szCs w:val="20"/>
        </w:rPr>
        <w:br/>
        <w:t xml:space="preserve">                                                              </w:t>
      </w:r>
      <w:r>
        <w:rPr>
          <w:rFonts w:ascii="Arial" w:hAnsi="Arial"/>
          <w:sz w:val="20"/>
          <w:szCs w:val="20"/>
        </w:rPr>
        <w:t xml:space="preserve"> </w:t>
      </w:r>
      <w:r w:rsidRPr="003468E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</w:t>
      </w:r>
      <w:r w:rsidRPr="003468EA">
        <w:rPr>
          <w:rFonts w:ascii="Arial" w:hAnsi="Arial"/>
          <w:sz w:val="20"/>
          <w:szCs w:val="20"/>
        </w:rPr>
        <w:t xml:space="preserve"> do Zarządzenia Nr</w:t>
      </w:r>
      <w:r>
        <w:rPr>
          <w:rFonts w:ascii="Arial" w:hAnsi="Arial"/>
          <w:sz w:val="20"/>
          <w:szCs w:val="20"/>
        </w:rPr>
        <w:t xml:space="preserve"> 21/2011</w:t>
      </w:r>
    </w:p>
    <w:p w:rsidR="0095792C" w:rsidRPr="003468EA" w:rsidRDefault="0095792C" w:rsidP="0095792C">
      <w:pPr>
        <w:jc w:val="center"/>
        <w:rPr>
          <w:rFonts w:ascii="Arial" w:hAnsi="Arial"/>
          <w:sz w:val="20"/>
          <w:szCs w:val="20"/>
        </w:rPr>
      </w:pPr>
      <w:r w:rsidRPr="003468EA">
        <w:rPr>
          <w:rFonts w:ascii="Arial" w:hAnsi="Arial"/>
          <w:sz w:val="20"/>
          <w:szCs w:val="20"/>
        </w:rPr>
        <w:t xml:space="preserve">                                                                                          Prezydenta Miasta Świętochłowice    </w:t>
      </w:r>
    </w:p>
    <w:p w:rsidR="0095792C" w:rsidRDefault="0095792C" w:rsidP="0095792C">
      <w:pPr>
        <w:jc w:val="center"/>
        <w:rPr>
          <w:rFonts w:ascii="Arial" w:hAnsi="Arial"/>
          <w:sz w:val="22"/>
        </w:rPr>
      </w:pPr>
      <w:r w:rsidRPr="003468EA">
        <w:rPr>
          <w:rFonts w:ascii="Arial" w:hAnsi="Arial"/>
          <w:sz w:val="20"/>
          <w:szCs w:val="20"/>
        </w:rPr>
        <w:t xml:space="preserve">                                          </w:t>
      </w:r>
      <w:r>
        <w:rPr>
          <w:rFonts w:ascii="Arial" w:hAnsi="Arial"/>
          <w:sz w:val="20"/>
          <w:szCs w:val="20"/>
        </w:rPr>
        <w:t xml:space="preserve">   </w:t>
      </w:r>
      <w:r w:rsidRPr="003468EA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3468EA">
        <w:rPr>
          <w:rFonts w:ascii="Arial" w:hAnsi="Arial"/>
          <w:sz w:val="20"/>
          <w:szCs w:val="20"/>
        </w:rPr>
        <w:t>z dnia</w:t>
      </w:r>
      <w:r>
        <w:rPr>
          <w:rFonts w:ascii="Arial" w:hAnsi="Arial"/>
          <w:sz w:val="22"/>
        </w:rPr>
        <w:t xml:space="preserve">   22.02.2011r.</w:t>
      </w:r>
    </w:p>
    <w:p w:rsidR="0095792C" w:rsidRPr="00E05488" w:rsidRDefault="0095792C" w:rsidP="0095792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KARTA OCENY FORMALNEJ</w:t>
      </w: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3254"/>
        <w:gridCol w:w="1842"/>
        <w:gridCol w:w="1843"/>
        <w:gridCol w:w="1843"/>
      </w:tblGrid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5"/>
          </w:tcPr>
          <w:p w:rsidR="0095792C" w:rsidRDefault="0095792C" w:rsidP="00D40405">
            <w:pPr>
              <w:pStyle w:val="Nagwek1"/>
            </w:pPr>
            <w:r>
              <w:t>I. Informacje podstawowe</w:t>
            </w: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254" w:type="dxa"/>
          </w:tcPr>
          <w:p w:rsidR="0095792C" w:rsidRDefault="0095792C" w:rsidP="00D40405">
            <w:pPr>
              <w:pStyle w:val="Nagwek3"/>
            </w:pPr>
            <w:r>
              <w:t xml:space="preserve">               Nazwa oferenta</w:t>
            </w:r>
          </w:p>
        </w:tc>
        <w:tc>
          <w:tcPr>
            <w:tcW w:w="5528" w:type="dxa"/>
            <w:gridSpan w:val="3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3254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 oferenta</w:t>
            </w:r>
          </w:p>
        </w:tc>
        <w:tc>
          <w:tcPr>
            <w:tcW w:w="5528" w:type="dxa"/>
            <w:gridSpan w:val="3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3. </w:t>
            </w:r>
          </w:p>
        </w:tc>
        <w:tc>
          <w:tcPr>
            <w:tcW w:w="3254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Nazwa zadania</w:t>
            </w:r>
          </w:p>
        </w:tc>
        <w:tc>
          <w:tcPr>
            <w:tcW w:w="5528" w:type="dxa"/>
            <w:gridSpan w:val="3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4. </w:t>
            </w:r>
          </w:p>
        </w:tc>
        <w:tc>
          <w:tcPr>
            <w:tcW w:w="3254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Wnioskowana kwota dotacji</w:t>
            </w:r>
          </w:p>
        </w:tc>
        <w:tc>
          <w:tcPr>
            <w:tcW w:w="18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Planowana przez Miasto kwota</w:t>
            </w:r>
          </w:p>
        </w:tc>
        <w:tc>
          <w:tcPr>
            <w:tcW w:w="1843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5. </w:t>
            </w:r>
          </w:p>
        </w:tc>
        <w:tc>
          <w:tcPr>
            <w:tcW w:w="3254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 składania ofert</w:t>
            </w:r>
          </w:p>
        </w:tc>
        <w:tc>
          <w:tcPr>
            <w:tcW w:w="18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 złożenia oferty</w:t>
            </w:r>
          </w:p>
        </w:tc>
        <w:tc>
          <w:tcPr>
            <w:tcW w:w="1843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6480"/>
        <w:gridCol w:w="1260"/>
        <w:gridCol w:w="1042"/>
      </w:tblGrid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0" w:type="dxa"/>
            <w:gridSpan w:val="2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</w:rPr>
            </w:pPr>
            <w:r w:rsidRPr="001E1FC9">
              <w:rPr>
                <w:rFonts w:ascii="Arial" w:hAnsi="Arial"/>
                <w:b/>
              </w:rPr>
              <w:t>II. Kryteria formalne</w:t>
            </w:r>
          </w:p>
          <w:p w:rsidR="0095792C" w:rsidRPr="001E1FC9" w:rsidRDefault="0095792C" w:rsidP="00D40405">
            <w:pPr>
              <w:jc w:val="center"/>
              <w:rPr>
                <w:rFonts w:ascii="Arial" w:hAnsi="Arial"/>
                <w:b/>
              </w:rPr>
            </w:pPr>
          </w:p>
          <w:p w:rsidR="0095792C" w:rsidRPr="001E1FC9" w:rsidRDefault="0095792C" w:rsidP="00D40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FC9">
              <w:rPr>
                <w:rFonts w:ascii="Arial" w:hAnsi="Arial" w:cs="Arial"/>
                <w:b/>
                <w:sz w:val="20"/>
                <w:szCs w:val="20"/>
              </w:rPr>
              <w:t>W przypadku pojawienia się chociażby jednej odpowiedzi negatywnej oferta zostaje odrzucona</w:t>
            </w:r>
          </w:p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Tak</w:t>
            </w: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Nie</w:t>
            </w: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480" w:type="dxa"/>
          </w:tcPr>
          <w:p w:rsidR="0095792C" w:rsidRDefault="0095792C" w:rsidP="00D40405">
            <w:pPr>
              <w:pStyle w:val="Nagwek1"/>
              <w:ind w:left="-70" w:firstLine="70"/>
              <w:rPr>
                <w:sz w:val="18"/>
              </w:rPr>
            </w:pPr>
            <w:r>
              <w:rPr>
                <w:sz w:val="18"/>
              </w:rPr>
              <w:t>Oferta złożona przez uprawniony podmiot</w:t>
            </w:r>
          </w:p>
          <w:p w:rsidR="0095792C" w:rsidRPr="003D1C30" w:rsidRDefault="0095792C" w:rsidP="00D40405"/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480" w:type="dxa"/>
          </w:tcPr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Oferta złożona w terminie 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6480" w:type="dxa"/>
          </w:tcPr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Oferta złożona na właściwym druku, kompletna i posiada wszystkie 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załączniki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480" w:type="dxa"/>
          </w:tcPr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Tematyka konkursu mieści się w treściach statutowych oferenta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43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480" w:type="dxa"/>
          </w:tcPr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Wszystkie rubryki zawarte w formularzu oferty zostały wypełnione</w:t>
            </w:r>
          </w:p>
        </w:tc>
        <w:tc>
          <w:tcPr>
            <w:tcW w:w="1260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42" w:type="dxa"/>
          </w:tcPr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792C" w:rsidTr="00D404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4"/>
          </w:tcPr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 konkursowa stwierdza, iż oferta nie/kwalifikuje się do etapu II konkursu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Komisja konkursowa  stwierdza wystąpienie następujących braków formalnych:*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…………………………………………………………………………………………………………………………</w:t>
            </w: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…………………………………………………………………………………………………………………………</w:t>
            </w: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…………………………………………………………………………………………………………………………</w:t>
            </w: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…………………………………………………………………………………………………………………………</w:t>
            </w: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………………………………………………………………………………………………………………………...</w:t>
            </w:r>
          </w:p>
          <w:p w:rsidR="0095792C" w:rsidRDefault="0095792C" w:rsidP="00D4040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………………………………………………………………………………………………………………………..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Wyznacza się termin……………………… dni na usunięcie wskazanych braków formalnych.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Podpisy członków Komisji konkursowej: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Przewodniczący:…………………………..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Członkowie: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Świętochłowice, </w:t>
            </w:r>
            <w:proofErr w:type="spellStart"/>
            <w:r>
              <w:rPr>
                <w:rFonts w:ascii="Arial" w:hAnsi="Arial"/>
                <w:b/>
                <w:sz w:val="18"/>
              </w:rPr>
              <w:t>dn</w:t>
            </w:r>
            <w:proofErr w:type="spellEnd"/>
            <w:r>
              <w:rPr>
                <w:rFonts w:ascii="Arial" w:hAnsi="Arial"/>
                <w:b/>
                <w:sz w:val="18"/>
              </w:rPr>
              <w:t>……………………….</w:t>
            </w: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Default="0095792C" w:rsidP="00D40405">
            <w:pPr>
              <w:rPr>
                <w:rFonts w:ascii="Arial" w:hAnsi="Arial"/>
                <w:b/>
                <w:sz w:val="18"/>
              </w:rPr>
            </w:pPr>
          </w:p>
          <w:p w:rsidR="0095792C" w:rsidRPr="002A2A0C" w:rsidRDefault="0095792C" w:rsidP="00D40405">
            <w:pPr>
              <w:rPr>
                <w:rFonts w:ascii="Arial" w:hAnsi="Arial"/>
                <w:b/>
                <w:sz w:val="16"/>
                <w:szCs w:val="16"/>
              </w:rPr>
            </w:pPr>
            <w:r w:rsidRPr="002A2A0C">
              <w:rPr>
                <w:rFonts w:ascii="Arial" w:hAnsi="Arial"/>
                <w:b/>
                <w:sz w:val="16"/>
                <w:szCs w:val="16"/>
              </w:rPr>
              <w:t>*niepotrzebne skreślić</w:t>
            </w:r>
          </w:p>
          <w:p w:rsidR="0095792C" w:rsidRDefault="0095792C" w:rsidP="00D4040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5792C" w:rsidRDefault="0095792C" w:rsidP="0095792C">
      <w:pPr>
        <w:jc w:val="center"/>
        <w:rPr>
          <w:rFonts w:ascii="Arial" w:hAnsi="Arial"/>
          <w:b/>
          <w:sz w:val="22"/>
        </w:rPr>
      </w:pPr>
    </w:p>
    <w:p w:rsidR="0095792C" w:rsidRDefault="0095792C" w:rsidP="0095792C">
      <w:pPr>
        <w:jc w:val="center"/>
        <w:rPr>
          <w:rFonts w:ascii="Arial" w:hAnsi="Arial"/>
          <w:b/>
          <w:sz w:val="16"/>
        </w:rPr>
      </w:pPr>
    </w:p>
    <w:p w:rsidR="0095792C" w:rsidRDefault="0095792C" w:rsidP="0095792C">
      <w:pPr>
        <w:jc w:val="center"/>
        <w:rPr>
          <w:rFonts w:ascii="Arial" w:hAnsi="Arial"/>
          <w:b/>
          <w:sz w:val="16"/>
        </w:rPr>
      </w:pPr>
    </w:p>
    <w:p w:rsidR="0095792C" w:rsidRDefault="0095792C" w:rsidP="0095792C">
      <w:pPr>
        <w:jc w:val="center"/>
        <w:rPr>
          <w:rFonts w:ascii="Arial" w:hAnsi="Arial"/>
          <w:b/>
          <w:sz w:val="16"/>
        </w:rPr>
      </w:pPr>
    </w:p>
    <w:p w:rsidR="0095792C" w:rsidRDefault="0095792C" w:rsidP="0095792C">
      <w:pPr>
        <w:jc w:val="center"/>
        <w:rPr>
          <w:rFonts w:ascii="Arial" w:hAnsi="Arial"/>
          <w:b/>
          <w:sz w:val="16"/>
        </w:rPr>
      </w:pPr>
    </w:p>
    <w:p w:rsidR="0095792C" w:rsidRDefault="0095792C" w:rsidP="0095792C"/>
    <w:p w:rsidR="00BF3E2E" w:rsidRDefault="00BF3E2E" w:rsidP="00BF3E2E">
      <w:pPr>
        <w:pStyle w:val="paragraf"/>
        <w:tabs>
          <w:tab w:val="clear" w:pos="0"/>
          <w:tab w:val="left" w:pos="900"/>
        </w:tabs>
        <w:ind w:left="113"/>
        <w:jc w:val="both"/>
        <w:rPr>
          <w:b w:val="0"/>
        </w:rPr>
      </w:pPr>
    </w:p>
    <w:p w:rsidR="00AB5714" w:rsidRDefault="00AB5714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Default="005F3AC7"/>
    <w:p w:rsidR="005F3AC7" w:rsidRPr="00240A2B" w:rsidRDefault="005F3AC7" w:rsidP="005F3AC7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lastRenderedPageBreak/>
        <w:t xml:space="preserve">                                                           </w:t>
      </w:r>
      <w:r w:rsidRPr="00240A2B">
        <w:rPr>
          <w:rFonts w:ascii="Arial" w:hAnsi="Arial"/>
          <w:sz w:val="20"/>
          <w:szCs w:val="20"/>
        </w:rPr>
        <w:t xml:space="preserve">Załącznik Nr 2 </w:t>
      </w:r>
      <w:r w:rsidRPr="00240A2B">
        <w:rPr>
          <w:rFonts w:ascii="Arial" w:hAnsi="Arial"/>
          <w:sz w:val="20"/>
          <w:szCs w:val="20"/>
        </w:rPr>
        <w:br/>
        <w:t xml:space="preserve">                                                              </w:t>
      </w:r>
      <w:r>
        <w:rPr>
          <w:rFonts w:ascii="Arial" w:hAnsi="Arial"/>
          <w:sz w:val="20"/>
          <w:szCs w:val="20"/>
        </w:rPr>
        <w:t xml:space="preserve"> </w:t>
      </w:r>
      <w:r w:rsidRPr="00240A2B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         </w:t>
      </w:r>
      <w:r w:rsidRPr="00240A2B">
        <w:rPr>
          <w:rFonts w:ascii="Arial" w:hAnsi="Arial"/>
          <w:sz w:val="20"/>
          <w:szCs w:val="20"/>
        </w:rPr>
        <w:t>do Zarządzenia Nr</w:t>
      </w:r>
      <w:r>
        <w:rPr>
          <w:rFonts w:ascii="Arial" w:hAnsi="Arial"/>
          <w:sz w:val="20"/>
          <w:szCs w:val="20"/>
        </w:rPr>
        <w:t xml:space="preserve"> 21/2011</w:t>
      </w:r>
    </w:p>
    <w:p w:rsidR="005F3AC7" w:rsidRPr="00240A2B" w:rsidRDefault="005F3AC7" w:rsidP="005F3AC7">
      <w:pPr>
        <w:jc w:val="center"/>
        <w:rPr>
          <w:rFonts w:ascii="Arial" w:hAnsi="Arial"/>
          <w:sz w:val="20"/>
          <w:szCs w:val="20"/>
        </w:rPr>
      </w:pPr>
      <w:r w:rsidRPr="00240A2B">
        <w:rPr>
          <w:rFonts w:ascii="Arial" w:hAnsi="Arial"/>
          <w:sz w:val="20"/>
          <w:szCs w:val="20"/>
        </w:rPr>
        <w:t xml:space="preserve">                                                                                          Prezydenta Miasta Świętochłowice    </w:t>
      </w:r>
    </w:p>
    <w:p w:rsidR="005F3AC7" w:rsidRDefault="005F3AC7" w:rsidP="005F3AC7">
      <w:pPr>
        <w:jc w:val="center"/>
        <w:rPr>
          <w:rFonts w:ascii="Arial" w:hAnsi="Arial"/>
          <w:sz w:val="22"/>
        </w:rPr>
      </w:pPr>
      <w:r w:rsidRPr="00240A2B">
        <w:rPr>
          <w:rFonts w:ascii="Arial" w:hAnsi="Arial"/>
          <w:sz w:val="20"/>
          <w:szCs w:val="20"/>
        </w:rPr>
        <w:t xml:space="preserve">                                         </w:t>
      </w:r>
      <w:r>
        <w:rPr>
          <w:rFonts w:ascii="Arial" w:hAnsi="Arial"/>
          <w:sz w:val="20"/>
          <w:szCs w:val="20"/>
        </w:rPr>
        <w:t xml:space="preserve">   </w:t>
      </w:r>
      <w:r w:rsidRPr="00240A2B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                  </w:t>
      </w:r>
      <w:r w:rsidRPr="00240A2B">
        <w:rPr>
          <w:rFonts w:ascii="Arial" w:hAnsi="Arial"/>
          <w:sz w:val="20"/>
          <w:szCs w:val="20"/>
        </w:rPr>
        <w:t>z dnia</w:t>
      </w:r>
      <w:r>
        <w:rPr>
          <w:rFonts w:ascii="Arial" w:hAnsi="Arial"/>
          <w:sz w:val="22"/>
        </w:rPr>
        <w:t xml:space="preserve">   22.02.2011</w:t>
      </w:r>
    </w:p>
    <w:p w:rsidR="005F3AC7" w:rsidRDefault="005F3AC7" w:rsidP="005F3AC7">
      <w:pPr>
        <w:jc w:val="center"/>
        <w:rPr>
          <w:rFonts w:ascii="Arial" w:hAnsi="Arial"/>
          <w:b/>
          <w:sz w:val="22"/>
        </w:rPr>
      </w:pPr>
    </w:p>
    <w:p w:rsidR="005F3AC7" w:rsidRDefault="005F3AC7" w:rsidP="005F3AC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KARTA OCENY MERYTORYCZNEJ</w:t>
      </w:r>
    </w:p>
    <w:p w:rsidR="005F3AC7" w:rsidRDefault="005F3AC7" w:rsidP="005F3AC7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1958"/>
        <w:gridCol w:w="1927"/>
      </w:tblGrid>
      <w:tr w:rsidR="005F3AC7" w:rsidTr="00D40405">
        <w:trPr>
          <w:tblHeader/>
          <w:jc w:val="right"/>
        </w:trPr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jc w:val="center"/>
              <w:rPr>
                <w:rFonts w:ascii="Arial" w:hAnsi="Arial"/>
                <w:b/>
                <w:iCs/>
              </w:rPr>
            </w:pPr>
          </w:p>
          <w:p w:rsidR="005F3AC7" w:rsidRDefault="005F3AC7" w:rsidP="00D40405">
            <w:pPr>
              <w:jc w:val="center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KRYTERIA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Tytutabeli"/>
              <w:spacing w:after="0"/>
              <w:rPr>
                <w:rFonts w:ascii="Arial" w:hAnsi="Arial"/>
                <w:i w:val="0"/>
                <w:iCs/>
                <w:sz w:val="22"/>
              </w:rPr>
            </w:pPr>
            <w:r>
              <w:rPr>
                <w:rFonts w:ascii="Arial" w:hAnsi="Arial"/>
                <w:i w:val="0"/>
                <w:iCs/>
                <w:sz w:val="22"/>
              </w:rPr>
              <w:t>Maksymalna  liczba punktów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Tytutabeli"/>
              <w:spacing w:after="0"/>
              <w:rPr>
                <w:rFonts w:ascii="Arial" w:hAnsi="Arial"/>
                <w:i w:val="0"/>
                <w:iCs/>
                <w:sz w:val="22"/>
              </w:rPr>
            </w:pPr>
            <w:r>
              <w:rPr>
                <w:rFonts w:ascii="Arial" w:hAnsi="Arial"/>
                <w:i w:val="0"/>
                <w:iCs/>
                <w:sz w:val="22"/>
              </w:rPr>
              <w:t>Uzyskana liczba punktów</w:t>
            </w: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5F3AC7">
            <w:pPr>
              <w:pStyle w:val="Tekstpodstawowy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 Unicode MS" w:hAnsi="Arial" w:cs="Tahoma"/>
                <w:b/>
                <w:sz w:val="20"/>
                <w:szCs w:val="22"/>
              </w:rPr>
              <w:t>merytoryczne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t xml:space="preserve"> – możliwość realizacji zadania, zadeklarowana przez podmiot jakość działania 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br/>
              <w:t xml:space="preserve">i kwalifikacje osób przy udziale, których zadanie ma być realizowane, 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Tekstpodstawowy"/>
              <w:spacing w:after="0"/>
              <w:jc w:val="center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Tekstpodstawowy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Tekstpodstawowy"/>
              <w:spacing w:after="0"/>
              <w:rPr>
                <w:rFonts w:ascii="Arial" w:hAnsi="Arial"/>
                <w:sz w:val="22"/>
                <w:u w:val="single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5F3AC7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 Unicode MS" w:hAnsi="Arial" w:cs="Tahoma"/>
                <w:b/>
                <w:sz w:val="20"/>
                <w:szCs w:val="22"/>
              </w:rPr>
              <w:t>finansowe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t xml:space="preserve"> – ocenę przedstawionej kalkulacji kosztów realizacji zadania (rzetelność przedłożonego planu rzeczowo – finansowego oraz zasadność wydatkowania środków), oszczędności oraz efektywności wykonania zadania. Zadeklarowany udział środków finansowych lub pozafinansowych własnych lub pozyskanych z innych źródeł w przypadku wsparcia wykonywania zadania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br/>
              <w:t>- dofinansowania realizacji zadania.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  <w:u w:val="single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5F3AC7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 Unicode MS" w:hAnsi="Arial" w:cs="Tahoma"/>
                <w:b/>
                <w:sz w:val="20"/>
                <w:szCs w:val="22"/>
              </w:rPr>
              <w:t xml:space="preserve">analiza i ocena 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t xml:space="preserve">realizacji zadań zleconych przez Miasto w okresie poprzednim z uwzględnieniem rzetelności </w:t>
            </w:r>
            <w:r>
              <w:rPr>
                <w:rFonts w:ascii="Arial" w:eastAsia="Arial Unicode MS" w:hAnsi="Arial" w:cs="Tahoma"/>
                <w:sz w:val="20"/>
                <w:szCs w:val="22"/>
              </w:rPr>
              <w:br/>
              <w:t>i terminowości oraz sposobu rozliczenia otrzymywanych na ten cel środków.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  <w:u w:val="single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5F3AC7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2"/>
              </w:rPr>
              <w:t>wcześniejsze doświadczenia</w:t>
            </w:r>
            <w:r>
              <w:rPr>
                <w:rFonts w:ascii="Arial" w:eastAsia="Arial Unicode MS" w:hAnsi="Arial" w:cs="Arial"/>
                <w:sz w:val="20"/>
                <w:szCs w:val="22"/>
              </w:rPr>
              <w:t xml:space="preserve"> w realizacji zadania tego typu.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5F3AC7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społeczne</w:t>
            </w:r>
            <w:r>
              <w:rPr>
                <w:rFonts w:ascii="Arial" w:hAnsi="Arial"/>
                <w:sz w:val="20"/>
              </w:rPr>
              <w:t xml:space="preserve"> – dostępność realizowanego przedsięwzięcia dla mieszkańców, przewidywana liczba odbiorców, oraz zapotrzebowanie społeczne na usługi świadczone </w:t>
            </w:r>
            <w:r>
              <w:rPr>
                <w:rFonts w:ascii="Arial" w:hAnsi="Arial"/>
                <w:sz w:val="20"/>
              </w:rPr>
              <w:br/>
              <w:t>w ramach projektu</w:t>
            </w: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2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F3AC7" w:rsidRDefault="005F3AC7" w:rsidP="00D4040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promocyjne </w:t>
            </w:r>
            <w:r>
              <w:rPr>
                <w:rFonts w:ascii="Arial" w:hAnsi="Arial"/>
                <w:sz w:val="20"/>
                <w:szCs w:val="20"/>
              </w:rPr>
              <w:t>– charakter i zasięg oddziaływania</w:t>
            </w:r>
          </w:p>
          <w:p w:rsidR="005F3AC7" w:rsidRDefault="005F3AC7" w:rsidP="00D404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1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F3AC7" w:rsidRDefault="005F3AC7" w:rsidP="00D4040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  </w:t>
            </w:r>
            <w:r>
              <w:rPr>
                <w:rFonts w:ascii="Arial" w:hAnsi="Arial"/>
                <w:b/>
                <w:sz w:val="20"/>
                <w:szCs w:val="20"/>
              </w:rPr>
              <w:t>organizacyjne</w:t>
            </w:r>
            <w:r>
              <w:rPr>
                <w:rFonts w:ascii="Arial" w:hAnsi="Arial"/>
                <w:sz w:val="20"/>
                <w:szCs w:val="20"/>
              </w:rPr>
              <w:t xml:space="preserve"> - posiadane zasoby rzeczowe, kadrowe </w:t>
            </w:r>
            <w:r>
              <w:rPr>
                <w:rFonts w:ascii="Arial" w:hAnsi="Arial"/>
                <w:sz w:val="20"/>
                <w:szCs w:val="20"/>
              </w:rPr>
              <w:br/>
              <w:t>i doświadczenie, innowacyjność proponowanych rozwiązań w tym świadczenia wolontariuszy i praca społeczna członków.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1"/>
              </w:rPr>
            </w:pPr>
          </w:p>
        </w:tc>
      </w:tr>
      <w:tr w:rsidR="005F3AC7" w:rsidTr="00D40405">
        <w:trPr>
          <w:jc w:val="right"/>
        </w:trPr>
        <w:tc>
          <w:tcPr>
            <w:tcW w:w="5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</w:p>
          <w:p w:rsidR="005F3AC7" w:rsidRDefault="005F3AC7" w:rsidP="00D40405">
            <w:pPr>
              <w:pStyle w:val="Zawartotabeli"/>
              <w:spacing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 70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AC7" w:rsidRDefault="005F3AC7" w:rsidP="00D40405">
            <w:pPr>
              <w:pStyle w:val="Zawartotabeli"/>
              <w:spacing w:after="0"/>
              <w:rPr>
                <w:rFonts w:ascii="Arial" w:hAnsi="Arial"/>
                <w:sz w:val="21"/>
              </w:rPr>
            </w:pPr>
          </w:p>
        </w:tc>
      </w:tr>
    </w:tbl>
    <w:p w:rsidR="005F3AC7" w:rsidRDefault="005F3AC7" w:rsidP="005F3AC7">
      <w:pPr>
        <w:rPr>
          <w:rFonts w:ascii="Arial" w:hAnsi="Arial" w:cs="Arial"/>
          <w:b/>
          <w:bCs/>
          <w:sz w:val="22"/>
          <w:szCs w:val="22"/>
        </w:rPr>
      </w:pPr>
    </w:p>
    <w:p w:rsidR="005F3AC7" w:rsidRDefault="005F3AC7" w:rsidP="005F3AC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Zasady punktacji końcowej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5F3AC7" w:rsidRDefault="005F3AC7" w:rsidP="005F3AC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Punktacja końcowa</w:t>
            </w:r>
          </w:p>
          <w:p w:rsidR="005F3AC7" w:rsidRPr="003445F9" w:rsidRDefault="005F3AC7" w:rsidP="00D4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F3AC7" w:rsidRPr="003445F9" w:rsidRDefault="005F3AC7" w:rsidP="00D4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Przyznanie dotacji (%) w stosunku do wnioskowanej w ofercie</w:t>
            </w:r>
          </w:p>
        </w:tc>
      </w:tr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0 – 30 pkt.</w:t>
            </w:r>
          </w:p>
          <w:p w:rsidR="005F3AC7" w:rsidRPr="003445F9" w:rsidRDefault="005F3AC7" w:rsidP="00D4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0%</w:t>
            </w:r>
          </w:p>
        </w:tc>
      </w:tr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31 – 40 pkt.</w:t>
            </w:r>
          </w:p>
          <w:p w:rsidR="005F3AC7" w:rsidRPr="003445F9" w:rsidRDefault="005F3AC7" w:rsidP="00D404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25 %</w:t>
            </w:r>
          </w:p>
        </w:tc>
      </w:tr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41 – 55 pkt.</w:t>
            </w:r>
          </w:p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50 %</w:t>
            </w:r>
          </w:p>
        </w:tc>
      </w:tr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56 – 60 pkt.</w:t>
            </w:r>
          </w:p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do 75%</w:t>
            </w:r>
          </w:p>
        </w:tc>
      </w:tr>
      <w:tr w:rsidR="005F3AC7" w:rsidRPr="003445F9" w:rsidTr="00D404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>61 – 70 pkt.</w:t>
            </w:r>
          </w:p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C7" w:rsidRPr="003445F9" w:rsidRDefault="005F3AC7" w:rsidP="00D40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do 100%</w:t>
            </w:r>
          </w:p>
        </w:tc>
      </w:tr>
    </w:tbl>
    <w:p w:rsidR="005F3AC7" w:rsidRDefault="005F3AC7" w:rsidP="005F3AC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Rozstrzygnięcie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5F3AC7" w:rsidRDefault="005F3AC7" w:rsidP="005F3AC7">
      <w:pPr>
        <w:rPr>
          <w:rFonts w:ascii="Arial" w:hAnsi="Arial" w:cs="Arial"/>
        </w:rPr>
      </w:pPr>
    </w:p>
    <w:p w:rsidR="005F3AC7" w:rsidRDefault="005F3AC7" w:rsidP="005F3AC7">
      <w:pPr>
        <w:pStyle w:val="Tekstpodstawowy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Komisja konkursowa zaproponowała przyznanie/nieprzyznanie* dotacji z budżetu Miasta </w:t>
      </w:r>
      <w:r>
        <w:rPr>
          <w:sz w:val="20"/>
          <w:szCs w:val="20"/>
        </w:rPr>
        <w:br/>
        <w:t>Świętochłowice w wysokości .............................zł.</w:t>
      </w:r>
    </w:p>
    <w:p w:rsidR="005F3AC7" w:rsidRDefault="005F3AC7" w:rsidP="005F3AC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Uzasadnienie:</w:t>
      </w:r>
    </w:p>
    <w:p w:rsidR="005F3AC7" w:rsidRDefault="005F3AC7" w:rsidP="005F3AC7">
      <w:pPr>
        <w:rPr>
          <w:rFonts w:ascii="Arial" w:hAnsi="Arial" w:cs="Arial"/>
        </w:rPr>
      </w:pP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…………………………………………………………………………………………………..………………………………………………………………………………………………..…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F3AC7" w:rsidRDefault="005F3AC7" w:rsidP="005F3A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F3AC7" w:rsidRDefault="005F3AC7" w:rsidP="005F3A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Przewodniczącego Komisji</w:t>
      </w:r>
    </w:p>
    <w:p w:rsidR="005F3AC7" w:rsidRDefault="005F3AC7" w:rsidP="005F3A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…………………………………………. 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5F3AC7" w:rsidRDefault="005F3AC7" w:rsidP="005F3AC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5F3AC7" w:rsidRDefault="005F3AC7" w:rsidP="005F3AC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</w:t>
      </w: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</w:p>
    <w:p w:rsidR="005F3AC7" w:rsidRDefault="005F3AC7" w:rsidP="005F3AC7">
      <w:pPr>
        <w:spacing w:line="360" w:lineRule="auto"/>
        <w:ind w:left="360"/>
        <w:jc w:val="right"/>
        <w:rPr>
          <w:rFonts w:ascii="Arial" w:hAnsi="Arial" w:cs="Arial"/>
        </w:rPr>
      </w:pPr>
    </w:p>
    <w:p w:rsidR="005F3AC7" w:rsidRDefault="005F3AC7" w:rsidP="005F3A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niepotrzebne skreślić</w:t>
      </w:r>
    </w:p>
    <w:p w:rsidR="005F3AC7" w:rsidRDefault="005F3AC7" w:rsidP="005F3AC7"/>
    <w:p w:rsidR="005F3AC7" w:rsidRDefault="005F3AC7" w:rsidP="005F3AC7">
      <w:pPr>
        <w:rPr>
          <w:rFonts w:ascii="Arial" w:hAnsi="Arial" w:cs="Arial"/>
          <w:sz w:val="20"/>
          <w:szCs w:val="20"/>
        </w:rPr>
      </w:pPr>
    </w:p>
    <w:p w:rsidR="005F3AC7" w:rsidRDefault="005F3AC7" w:rsidP="005F3AC7"/>
    <w:p w:rsidR="005F3AC7" w:rsidRDefault="005F3AC7"/>
    <w:p w:rsidR="005F3AC7" w:rsidRDefault="005F3AC7"/>
    <w:sectPr w:rsidR="005F3AC7" w:rsidSect="00AB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792"/>
    <w:multiLevelType w:val="hybridMultilevel"/>
    <w:tmpl w:val="F80CA6EC"/>
    <w:lvl w:ilvl="0" w:tplc="ACC23FA4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</w:lvl>
    <w:lvl w:ilvl="1" w:tplc="824281FA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91C63"/>
    <w:multiLevelType w:val="hybridMultilevel"/>
    <w:tmpl w:val="65B0A83E"/>
    <w:lvl w:ilvl="0" w:tplc="206C4A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80824"/>
    <w:multiLevelType w:val="hybridMultilevel"/>
    <w:tmpl w:val="D1B45F40"/>
    <w:lvl w:ilvl="0" w:tplc="ACC23FA4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</w:lvl>
    <w:lvl w:ilvl="1" w:tplc="824281FA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A0B68"/>
    <w:multiLevelType w:val="hybridMultilevel"/>
    <w:tmpl w:val="98C09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5586C"/>
    <w:multiLevelType w:val="hybridMultilevel"/>
    <w:tmpl w:val="E9005EC8"/>
    <w:lvl w:ilvl="0" w:tplc="A6F0EF62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 w:tplc="4D065706">
      <w:start w:val="1"/>
      <w:numFmt w:val="decimal"/>
      <w:lvlText w:val="%2."/>
      <w:lvlJc w:val="left"/>
      <w:pPr>
        <w:tabs>
          <w:tab w:val="num" w:pos="1116"/>
        </w:tabs>
        <w:ind w:left="1173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0C55"/>
    <w:multiLevelType w:val="hybridMultilevel"/>
    <w:tmpl w:val="D15410EC"/>
    <w:lvl w:ilvl="0" w:tplc="A6F0EF62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66B35"/>
    <w:multiLevelType w:val="hybridMultilevel"/>
    <w:tmpl w:val="2C7877F8"/>
    <w:lvl w:ilvl="0" w:tplc="824281FA">
      <w:start w:val="1"/>
      <w:numFmt w:val="lowerLetter"/>
      <w:lvlText w:val="%1)"/>
      <w:lvlJc w:val="left"/>
      <w:pPr>
        <w:tabs>
          <w:tab w:val="num" w:pos="623"/>
        </w:tabs>
        <w:ind w:left="510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F7007"/>
    <w:multiLevelType w:val="hybridMultilevel"/>
    <w:tmpl w:val="296C67E6"/>
    <w:lvl w:ilvl="0" w:tplc="8BEED3FA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E2E"/>
    <w:rsid w:val="00000047"/>
    <w:rsid w:val="000D67C3"/>
    <w:rsid w:val="001B20A2"/>
    <w:rsid w:val="001C70D0"/>
    <w:rsid w:val="00271F4A"/>
    <w:rsid w:val="002A6B6B"/>
    <w:rsid w:val="00460415"/>
    <w:rsid w:val="005C1351"/>
    <w:rsid w:val="005F3AC7"/>
    <w:rsid w:val="00675C40"/>
    <w:rsid w:val="00733815"/>
    <w:rsid w:val="008A2F17"/>
    <w:rsid w:val="00916F43"/>
    <w:rsid w:val="0095792C"/>
    <w:rsid w:val="00AB5714"/>
    <w:rsid w:val="00B173AC"/>
    <w:rsid w:val="00B74E7D"/>
    <w:rsid w:val="00BF3E2E"/>
    <w:rsid w:val="00C71F08"/>
    <w:rsid w:val="00CD28C3"/>
    <w:rsid w:val="00CF7A70"/>
    <w:rsid w:val="00D2122C"/>
    <w:rsid w:val="00D71563"/>
    <w:rsid w:val="00EA51D3"/>
    <w:rsid w:val="00FB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E2E"/>
    <w:pPr>
      <w:keepNext/>
      <w:spacing w:before="360"/>
      <w:jc w:val="center"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3E2E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E2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F3E2E"/>
    <w:rPr>
      <w:rFonts w:ascii="Arial" w:eastAsia="Times New Roman" w:hAnsi="Arial" w:cs="Arial"/>
      <w:b/>
      <w:bCs/>
      <w:sz w:val="20"/>
      <w:szCs w:val="26"/>
      <w:lang w:eastAsia="pl-PL"/>
    </w:rPr>
  </w:style>
  <w:style w:type="character" w:styleId="Hipercze">
    <w:name w:val="Hyperlink"/>
    <w:basedOn w:val="Domylnaczcionkaakapitu"/>
    <w:semiHidden/>
    <w:unhideWhenUsed/>
    <w:rsid w:val="00BF3E2E"/>
    <w:rPr>
      <w:color w:val="0000FF"/>
      <w:u w:val="single"/>
    </w:rPr>
  </w:style>
  <w:style w:type="paragraph" w:customStyle="1" w:styleId="paragraf">
    <w:name w:val="paragraf"/>
    <w:basedOn w:val="Normalny"/>
    <w:autoRedefine/>
    <w:rsid w:val="00BF3E2E"/>
    <w:pPr>
      <w:tabs>
        <w:tab w:val="left" w:pos="0"/>
      </w:tabs>
      <w:spacing w:before="120" w:after="120"/>
      <w:jc w:val="center"/>
    </w:pPr>
    <w:rPr>
      <w:rFonts w:ascii="Arial" w:hAnsi="Arial"/>
      <w:b/>
      <w:sz w:val="20"/>
      <w:szCs w:val="20"/>
    </w:rPr>
  </w:style>
  <w:style w:type="paragraph" w:customStyle="1" w:styleId="tekstnormalny">
    <w:name w:val="tekst normalny"/>
    <w:basedOn w:val="Normalny"/>
    <w:autoRedefine/>
    <w:rsid w:val="00BF3E2E"/>
    <w:pPr>
      <w:tabs>
        <w:tab w:val="left" w:pos="4800"/>
      </w:tabs>
      <w:jc w:val="both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5F3AC7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3AC7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3AC7"/>
    <w:rPr>
      <w:rFonts w:ascii="Arial" w:hAnsi="Arial" w:cs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3AC7"/>
    <w:rPr>
      <w:rFonts w:ascii="Arial" w:eastAsia="Times New Roman" w:hAnsi="Arial" w:cs="Arial"/>
      <w:sz w:val="28"/>
      <w:szCs w:val="24"/>
      <w:lang w:eastAsia="pl-PL"/>
    </w:rPr>
  </w:style>
  <w:style w:type="paragraph" w:customStyle="1" w:styleId="Zawartotabeli">
    <w:name w:val="Zawartość tabeli"/>
    <w:basedOn w:val="Tekstpodstawowy"/>
    <w:rsid w:val="005F3AC7"/>
    <w:pPr>
      <w:suppressLineNumbers/>
    </w:pPr>
  </w:style>
  <w:style w:type="paragraph" w:customStyle="1" w:styleId="Tytutabeli">
    <w:name w:val="Tytuł tabeli"/>
    <w:basedOn w:val="Zawartotabeli"/>
    <w:rsid w:val="005F3AC7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7</cp:revision>
  <cp:lastPrinted>2011-02-17T08:16:00Z</cp:lastPrinted>
  <dcterms:created xsi:type="dcterms:W3CDTF">2011-02-14T12:40:00Z</dcterms:created>
  <dcterms:modified xsi:type="dcterms:W3CDTF">2011-02-22T08:46:00Z</dcterms:modified>
</cp:coreProperties>
</file>