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9E" w:rsidRPr="00821042" w:rsidRDefault="00303D9E" w:rsidP="00303D9E">
      <w:pPr>
        <w:spacing w:before="120" w:after="120"/>
        <w:ind w:left="3540" w:firstLine="708"/>
        <w:contextualSpacing/>
        <w:rPr>
          <w:rFonts w:cs="Times New Roman"/>
          <w:sz w:val="24"/>
          <w:szCs w:val="24"/>
        </w:rPr>
      </w:pPr>
      <w:r w:rsidRPr="00821042">
        <w:rPr>
          <w:rFonts w:cs="Times New Roman"/>
          <w:sz w:val="24"/>
          <w:szCs w:val="24"/>
        </w:rPr>
        <w:t xml:space="preserve">Załącznik Nr 3 </w:t>
      </w:r>
    </w:p>
    <w:p w:rsidR="00303D9E" w:rsidRPr="00821042" w:rsidRDefault="009E5B04" w:rsidP="00303D9E">
      <w:pPr>
        <w:spacing w:before="120" w:after="120"/>
        <w:ind w:left="3540" w:firstLine="708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U</w:t>
      </w:r>
      <w:r w:rsidR="00303D9E" w:rsidRPr="00821042">
        <w:rPr>
          <w:rFonts w:cs="Times New Roman"/>
          <w:sz w:val="24"/>
          <w:szCs w:val="24"/>
        </w:rPr>
        <w:t>chwały Rady Miejskiej w Świętochłowicach</w:t>
      </w:r>
    </w:p>
    <w:p w:rsidR="00303D9E" w:rsidRPr="00821042" w:rsidRDefault="009E5B04" w:rsidP="00303D9E">
      <w:pPr>
        <w:spacing w:before="120" w:after="120"/>
        <w:ind w:left="3540" w:firstLine="708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Nr XVI/156/15  z dnia 21 grudnia 2015 r.</w:t>
      </w:r>
    </w:p>
    <w:p w:rsidR="00303D9E" w:rsidRPr="00821042" w:rsidRDefault="00303D9E" w:rsidP="002827D3">
      <w:pPr>
        <w:spacing w:before="120" w:after="12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8978B6" w:rsidRPr="00821042" w:rsidRDefault="008978B6" w:rsidP="009B2C80">
      <w:pPr>
        <w:spacing w:before="120" w:after="120" w:line="360" w:lineRule="auto"/>
        <w:contextualSpacing/>
        <w:jc w:val="center"/>
        <w:rPr>
          <w:rFonts w:cs="Arial"/>
          <w:b/>
          <w:sz w:val="24"/>
          <w:szCs w:val="24"/>
          <w:u w:val="single"/>
        </w:rPr>
      </w:pPr>
      <w:r w:rsidRPr="00821042">
        <w:rPr>
          <w:rFonts w:cs="Arial"/>
          <w:b/>
          <w:sz w:val="24"/>
          <w:szCs w:val="24"/>
          <w:u w:val="single"/>
        </w:rPr>
        <w:t xml:space="preserve">OBJAŚNIENIA </w:t>
      </w:r>
      <w:r w:rsidR="006C06AF" w:rsidRPr="00821042">
        <w:rPr>
          <w:rFonts w:cs="Arial"/>
          <w:b/>
          <w:sz w:val="24"/>
          <w:szCs w:val="24"/>
          <w:u w:val="single"/>
        </w:rPr>
        <w:t xml:space="preserve">WARTOŚCI </w:t>
      </w:r>
      <w:r w:rsidRPr="00821042">
        <w:rPr>
          <w:rFonts w:cs="Arial"/>
          <w:b/>
          <w:sz w:val="24"/>
          <w:szCs w:val="24"/>
          <w:u w:val="single"/>
        </w:rPr>
        <w:t>PRZYJĘTYCH</w:t>
      </w:r>
      <w:r w:rsidR="00EB2FFD" w:rsidRPr="00821042">
        <w:rPr>
          <w:rFonts w:cs="Arial"/>
          <w:b/>
          <w:sz w:val="24"/>
          <w:szCs w:val="24"/>
          <w:u w:val="single"/>
        </w:rPr>
        <w:t xml:space="preserve"> </w:t>
      </w:r>
      <w:r w:rsidR="006916A7" w:rsidRPr="00821042">
        <w:rPr>
          <w:rFonts w:cs="Arial"/>
          <w:b/>
          <w:sz w:val="24"/>
          <w:szCs w:val="24"/>
          <w:u w:val="single"/>
        </w:rPr>
        <w:t>DO WIELOLETNIEJ PROGNOZY FINANSOWEJ MI</w:t>
      </w:r>
      <w:r w:rsidR="00EF40C5" w:rsidRPr="00821042">
        <w:rPr>
          <w:rFonts w:cs="Arial"/>
          <w:b/>
          <w:sz w:val="24"/>
          <w:szCs w:val="24"/>
          <w:u w:val="single"/>
        </w:rPr>
        <w:t xml:space="preserve">ASTA </w:t>
      </w:r>
      <w:r w:rsidR="00821042" w:rsidRPr="00821042">
        <w:rPr>
          <w:rFonts w:cs="Arial"/>
          <w:b/>
          <w:sz w:val="24"/>
          <w:szCs w:val="24"/>
          <w:u w:val="single"/>
        </w:rPr>
        <w:t>ŚWIĘTOCHŁOWICE NA LATA 2016-2030</w:t>
      </w:r>
    </w:p>
    <w:p w:rsidR="00D1714C" w:rsidRPr="00821042" w:rsidRDefault="00D1714C" w:rsidP="00207311">
      <w:pPr>
        <w:spacing w:before="120" w:after="120" w:line="360" w:lineRule="auto"/>
        <w:contextualSpacing/>
        <w:jc w:val="center"/>
        <w:rPr>
          <w:rFonts w:cs="Arial"/>
          <w:b/>
          <w:sz w:val="24"/>
          <w:szCs w:val="24"/>
          <w:u w:val="single"/>
        </w:rPr>
      </w:pPr>
    </w:p>
    <w:p w:rsidR="00D1714C" w:rsidRPr="00821042" w:rsidRDefault="00D1714C" w:rsidP="00207311">
      <w:pPr>
        <w:spacing w:before="120" w:after="120" w:line="360" w:lineRule="auto"/>
        <w:contextualSpacing/>
        <w:jc w:val="center"/>
        <w:rPr>
          <w:rFonts w:cs="Arial"/>
          <w:b/>
          <w:u w:val="single"/>
        </w:rPr>
      </w:pPr>
    </w:p>
    <w:p w:rsidR="00854FB7" w:rsidRPr="00821042" w:rsidRDefault="008978B6" w:rsidP="00207311">
      <w:pPr>
        <w:pStyle w:val="ZalBT"/>
        <w:tabs>
          <w:tab w:val="clear" w:pos="9072"/>
        </w:tabs>
        <w:spacing w:before="0" w:after="0" w:line="360" w:lineRule="auto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ab/>
      </w:r>
      <w:r w:rsidR="00D1714C" w:rsidRPr="00821042">
        <w:rPr>
          <w:rFonts w:asciiTheme="minorHAnsi" w:hAnsiTheme="minorHAnsi"/>
          <w:sz w:val="22"/>
          <w:szCs w:val="22"/>
        </w:rPr>
        <w:t>Wieloletnia Prognoza Finansowa została p</w:t>
      </w:r>
      <w:r w:rsidRPr="00821042">
        <w:rPr>
          <w:rFonts w:asciiTheme="minorHAnsi" w:hAnsiTheme="minorHAnsi"/>
          <w:sz w:val="22"/>
          <w:szCs w:val="22"/>
        </w:rPr>
        <w:t>rzygotowan</w:t>
      </w:r>
      <w:r w:rsidR="00970B83" w:rsidRPr="00821042">
        <w:rPr>
          <w:rFonts w:asciiTheme="minorHAnsi" w:hAnsiTheme="minorHAnsi"/>
          <w:sz w:val="22"/>
          <w:szCs w:val="22"/>
        </w:rPr>
        <w:t>a</w:t>
      </w:r>
      <w:r w:rsidR="00EF5CAC" w:rsidRPr="00821042">
        <w:rPr>
          <w:rFonts w:asciiTheme="minorHAnsi" w:hAnsiTheme="minorHAnsi"/>
          <w:sz w:val="22"/>
          <w:szCs w:val="22"/>
        </w:rPr>
        <w:t xml:space="preserve"> w oparciu o</w:t>
      </w:r>
      <w:r w:rsidR="00854FB7" w:rsidRPr="00821042">
        <w:rPr>
          <w:rFonts w:asciiTheme="minorHAnsi" w:hAnsiTheme="minorHAnsi"/>
          <w:sz w:val="22"/>
          <w:szCs w:val="22"/>
        </w:rPr>
        <w:t>:</w:t>
      </w:r>
    </w:p>
    <w:p w:rsidR="00854FB7" w:rsidRPr="00821042" w:rsidRDefault="00854FB7" w:rsidP="00207311">
      <w:pPr>
        <w:pStyle w:val="ZalBT"/>
        <w:tabs>
          <w:tab w:val="clear" w:pos="9072"/>
        </w:tabs>
        <w:spacing w:before="0" w:after="0" w:line="360" w:lineRule="auto"/>
        <w:ind w:left="142" w:hanging="142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>-</w:t>
      </w:r>
      <w:r w:rsidR="00EF5CAC" w:rsidRPr="00821042">
        <w:rPr>
          <w:rFonts w:asciiTheme="minorHAnsi" w:hAnsiTheme="minorHAnsi"/>
          <w:sz w:val="22"/>
          <w:szCs w:val="22"/>
        </w:rPr>
        <w:t xml:space="preserve"> art. 226</w:t>
      </w:r>
      <w:r w:rsidR="00E43660" w:rsidRPr="00821042">
        <w:rPr>
          <w:rFonts w:asciiTheme="minorHAnsi" w:hAnsiTheme="minorHAnsi"/>
          <w:sz w:val="22"/>
          <w:szCs w:val="22"/>
        </w:rPr>
        <w:t xml:space="preserve"> </w:t>
      </w:r>
      <w:r w:rsidR="00EF5CAC" w:rsidRPr="00821042">
        <w:rPr>
          <w:rFonts w:asciiTheme="minorHAnsi" w:hAnsiTheme="minorHAnsi"/>
          <w:sz w:val="22"/>
          <w:szCs w:val="22"/>
        </w:rPr>
        <w:t>-</w:t>
      </w:r>
      <w:r w:rsidR="00E43660" w:rsidRPr="00821042">
        <w:rPr>
          <w:rFonts w:asciiTheme="minorHAnsi" w:hAnsiTheme="minorHAnsi"/>
          <w:sz w:val="22"/>
          <w:szCs w:val="22"/>
        </w:rPr>
        <w:t xml:space="preserve"> </w:t>
      </w:r>
      <w:r w:rsidR="00EF5CAC" w:rsidRPr="00821042">
        <w:rPr>
          <w:rFonts w:asciiTheme="minorHAnsi" w:hAnsiTheme="minorHAnsi"/>
          <w:sz w:val="22"/>
          <w:szCs w:val="22"/>
        </w:rPr>
        <w:t>232 ustawy z dnia 27 sierpnia 2009 roku o finan</w:t>
      </w:r>
      <w:r w:rsidRPr="00821042">
        <w:rPr>
          <w:rFonts w:asciiTheme="minorHAnsi" w:hAnsiTheme="minorHAnsi"/>
          <w:sz w:val="22"/>
          <w:szCs w:val="22"/>
        </w:rPr>
        <w:t>sach publicznych</w:t>
      </w:r>
      <w:r w:rsidR="00D67D00" w:rsidRPr="00821042">
        <w:rPr>
          <w:rFonts w:asciiTheme="minorHAnsi" w:hAnsiTheme="minorHAnsi"/>
          <w:sz w:val="22"/>
          <w:szCs w:val="22"/>
        </w:rPr>
        <w:t xml:space="preserve"> </w:t>
      </w:r>
      <w:r w:rsidRPr="00821042">
        <w:rPr>
          <w:rFonts w:asciiTheme="minorHAnsi" w:hAnsiTheme="minorHAnsi"/>
          <w:sz w:val="22"/>
          <w:szCs w:val="22"/>
        </w:rPr>
        <w:t xml:space="preserve">(Dz. U. </w:t>
      </w:r>
      <w:r w:rsidR="006C06AF" w:rsidRPr="00821042">
        <w:rPr>
          <w:rFonts w:asciiTheme="minorHAnsi" w:hAnsiTheme="minorHAnsi"/>
          <w:sz w:val="22"/>
          <w:szCs w:val="22"/>
        </w:rPr>
        <w:t>z 2013 r.</w:t>
      </w:r>
      <w:r w:rsidR="00EF5CAC" w:rsidRPr="00821042">
        <w:rPr>
          <w:rFonts w:asciiTheme="minorHAnsi" w:hAnsiTheme="minorHAnsi"/>
          <w:sz w:val="22"/>
          <w:szCs w:val="22"/>
        </w:rPr>
        <w:t xml:space="preserve">, poz. </w:t>
      </w:r>
      <w:r w:rsidR="006C06AF" w:rsidRPr="00821042">
        <w:rPr>
          <w:rFonts w:asciiTheme="minorHAnsi" w:hAnsiTheme="minorHAnsi"/>
          <w:sz w:val="22"/>
          <w:szCs w:val="22"/>
        </w:rPr>
        <w:t>885</w:t>
      </w:r>
      <w:r w:rsidR="00EF5CAC" w:rsidRPr="00821042">
        <w:rPr>
          <w:rFonts w:asciiTheme="minorHAnsi" w:hAnsiTheme="minorHAnsi"/>
          <w:sz w:val="22"/>
          <w:szCs w:val="22"/>
        </w:rPr>
        <w:t xml:space="preserve"> z </w:t>
      </w:r>
      <w:proofErr w:type="spellStart"/>
      <w:r w:rsidR="00EF5CAC" w:rsidRPr="00821042">
        <w:rPr>
          <w:rFonts w:asciiTheme="minorHAnsi" w:hAnsiTheme="minorHAnsi"/>
          <w:sz w:val="22"/>
          <w:szCs w:val="22"/>
        </w:rPr>
        <w:t>późn</w:t>
      </w:r>
      <w:proofErr w:type="spellEnd"/>
      <w:r w:rsidR="00EF5CAC" w:rsidRPr="00821042">
        <w:rPr>
          <w:rFonts w:asciiTheme="minorHAnsi" w:hAnsiTheme="minorHAnsi"/>
          <w:sz w:val="22"/>
          <w:szCs w:val="22"/>
        </w:rPr>
        <w:t>. zm.)</w:t>
      </w:r>
      <w:r w:rsidRPr="00821042">
        <w:rPr>
          <w:rFonts w:asciiTheme="minorHAnsi" w:hAnsiTheme="minorHAnsi"/>
          <w:sz w:val="22"/>
          <w:szCs w:val="22"/>
        </w:rPr>
        <w:t>,</w:t>
      </w:r>
    </w:p>
    <w:p w:rsidR="00854FB7" w:rsidRPr="00821042" w:rsidRDefault="00854FB7" w:rsidP="00207311">
      <w:pPr>
        <w:pStyle w:val="ZalBT"/>
        <w:tabs>
          <w:tab w:val="clear" w:pos="9072"/>
        </w:tabs>
        <w:spacing w:before="0" w:after="0" w:line="360" w:lineRule="auto"/>
        <w:ind w:left="142" w:hanging="142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>- rozporządzenie</w:t>
      </w:r>
      <w:r w:rsidR="009C14E9" w:rsidRPr="00821042">
        <w:rPr>
          <w:rFonts w:asciiTheme="minorHAnsi" w:hAnsiTheme="minorHAnsi"/>
          <w:sz w:val="22"/>
          <w:szCs w:val="22"/>
        </w:rPr>
        <w:t xml:space="preserve"> Ministra Finansów z dnia 10 stycznia 2013 r. w sprawie wieloletniej prognozy finansowej jednostki samorządu terytorialnego (Dz. U. </w:t>
      </w:r>
      <w:r w:rsidR="006C06AF" w:rsidRPr="00821042">
        <w:rPr>
          <w:rFonts w:asciiTheme="minorHAnsi" w:hAnsiTheme="minorHAnsi"/>
          <w:sz w:val="22"/>
          <w:szCs w:val="22"/>
        </w:rPr>
        <w:t xml:space="preserve">z 2013 r. </w:t>
      </w:r>
      <w:r w:rsidR="009C14E9" w:rsidRPr="00821042">
        <w:rPr>
          <w:rFonts w:asciiTheme="minorHAnsi" w:hAnsiTheme="minorHAnsi"/>
          <w:sz w:val="22"/>
          <w:szCs w:val="22"/>
        </w:rPr>
        <w:t>poz. 86</w:t>
      </w:r>
      <w:r w:rsidR="00103A57" w:rsidRPr="00821042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103A57" w:rsidRPr="00821042">
        <w:rPr>
          <w:rFonts w:asciiTheme="minorHAnsi" w:hAnsiTheme="minorHAnsi"/>
          <w:sz w:val="22"/>
          <w:szCs w:val="22"/>
        </w:rPr>
        <w:t>późn</w:t>
      </w:r>
      <w:proofErr w:type="spellEnd"/>
      <w:r w:rsidR="00103A57" w:rsidRPr="00821042">
        <w:rPr>
          <w:rFonts w:asciiTheme="minorHAnsi" w:hAnsiTheme="minorHAnsi"/>
          <w:sz w:val="22"/>
          <w:szCs w:val="22"/>
        </w:rPr>
        <w:t>. zm.</w:t>
      </w:r>
      <w:r w:rsidR="009C14E9" w:rsidRPr="00821042">
        <w:rPr>
          <w:rFonts w:asciiTheme="minorHAnsi" w:hAnsiTheme="minorHAnsi"/>
          <w:sz w:val="22"/>
          <w:szCs w:val="22"/>
        </w:rPr>
        <w:t xml:space="preserve">) </w:t>
      </w:r>
      <w:r w:rsidR="00207311" w:rsidRPr="00821042">
        <w:rPr>
          <w:rFonts w:asciiTheme="minorHAnsi" w:hAnsiTheme="minorHAnsi"/>
          <w:sz w:val="22"/>
          <w:szCs w:val="22"/>
        </w:rPr>
        <w:t>W</w:t>
      </w:r>
      <w:r w:rsidR="00970B83" w:rsidRPr="00821042">
        <w:rPr>
          <w:rFonts w:asciiTheme="minorHAnsi" w:hAnsiTheme="minorHAnsi"/>
          <w:sz w:val="22"/>
          <w:szCs w:val="22"/>
        </w:rPr>
        <w:t>ieloletnia</w:t>
      </w:r>
      <w:r w:rsidR="008978B6" w:rsidRPr="00821042">
        <w:rPr>
          <w:rFonts w:asciiTheme="minorHAnsi" w:hAnsiTheme="minorHAnsi"/>
          <w:sz w:val="22"/>
          <w:szCs w:val="22"/>
        </w:rPr>
        <w:t xml:space="preserve"> </w:t>
      </w:r>
      <w:r w:rsidR="00207311" w:rsidRPr="00821042">
        <w:rPr>
          <w:rFonts w:asciiTheme="minorHAnsi" w:hAnsiTheme="minorHAnsi"/>
          <w:sz w:val="22"/>
          <w:szCs w:val="22"/>
        </w:rPr>
        <w:t>P</w:t>
      </w:r>
      <w:r w:rsidR="008978B6" w:rsidRPr="00821042">
        <w:rPr>
          <w:rFonts w:asciiTheme="minorHAnsi" w:hAnsiTheme="minorHAnsi"/>
          <w:sz w:val="22"/>
          <w:szCs w:val="22"/>
        </w:rPr>
        <w:t>rognoz</w:t>
      </w:r>
      <w:r w:rsidR="00970B83" w:rsidRPr="00821042">
        <w:rPr>
          <w:rFonts w:asciiTheme="minorHAnsi" w:hAnsiTheme="minorHAnsi"/>
          <w:sz w:val="22"/>
          <w:szCs w:val="22"/>
        </w:rPr>
        <w:t xml:space="preserve">a </w:t>
      </w:r>
      <w:r w:rsidR="00207311" w:rsidRPr="00821042">
        <w:rPr>
          <w:rFonts w:asciiTheme="minorHAnsi" w:hAnsiTheme="minorHAnsi"/>
          <w:sz w:val="22"/>
          <w:szCs w:val="22"/>
        </w:rPr>
        <w:t>F</w:t>
      </w:r>
      <w:r w:rsidR="00970B83" w:rsidRPr="00821042">
        <w:rPr>
          <w:rFonts w:asciiTheme="minorHAnsi" w:hAnsiTheme="minorHAnsi"/>
          <w:sz w:val="22"/>
          <w:szCs w:val="22"/>
        </w:rPr>
        <w:t>inansowa</w:t>
      </w:r>
      <w:r w:rsidR="008978B6" w:rsidRPr="00821042">
        <w:rPr>
          <w:rFonts w:asciiTheme="minorHAnsi" w:hAnsiTheme="minorHAnsi"/>
          <w:sz w:val="22"/>
          <w:szCs w:val="22"/>
        </w:rPr>
        <w:t xml:space="preserve"> obejmuje okres </w:t>
      </w:r>
      <w:r w:rsidR="006C06AF" w:rsidRPr="00821042">
        <w:rPr>
          <w:rFonts w:asciiTheme="minorHAnsi" w:hAnsiTheme="minorHAnsi"/>
          <w:sz w:val="22"/>
          <w:szCs w:val="22"/>
        </w:rPr>
        <w:t xml:space="preserve">do </w:t>
      </w:r>
      <w:r w:rsidR="008978B6" w:rsidRPr="00821042">
        <w:rPr>
          <w:rFonts w:asciiTheme="minorHAnsi" w:hAnsiTheme="minorHAnsi"/>
          <w:sz w:val="22"/>
          <w:szCs w:val="22"/>
        </w:rPr>
        <w:t xml:space="preserve">roku </w:t>
      </w:r>
      <w:r w:rsidR="004C1F28">
        <w:rPr>
          <w:rFonts w:asciiTheme="minorHAnsi" w:hAnsiTheme="minorHAnsi"/>
          <w:sz w:val="22"/>
          <w:szCs w:val="22"/>
        </w:rPr>
        <w:t>2030</w:t>
      </w:r>
      <w:r w:rsidR="006C06AF" w:rsidRPr="00821042">
        <w:rPr>
          <w:rFonts w:asciiTheme="minorHAnsi" w:hAnsiTheme="minorHAnsi"/>
          <w:sz w:val="22"/>
          <w:szCs w:val="22"/>
        </w:rPr>
        <w:t>.</w:t>
      </w:r>
    </w:p>
    <w:p w:rsidR="008978B6" w:rsidRPr="00821042" w:rsidRDefault="00EF5CAC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8978B6" w:rsidRPr="00821042">
        <w:rPr>
          <w:rFonts w:cs="Arial"/>
        </w:rPr>
        <w:t xml:space="preserve">Okres objęty </w:t>
      </w:r>
      <w:r w:rsidR="00207311" w:rsidRPr="00821042">
        <w:rPr>
          <w:rFonts w:cs="Arial"/>
        </w:rPr>
        <w:t>Wieloletnią Prognozą F</w:t>
      </w:r>
      <w:r w:rsidR="008978B6" w:rsidRPr="00821042">
        <w:rPr>
          <w:rFonts w:cs="Arial"/>
        </w:rPr>
        <w:t xml:space="preserve">inansową </w:t>
      </w:r>
      <w:r w:rsidR="009C14E9" w:rsidRPr="00821042">
        <w:rPr>
          <w:rFonts w:cs="Arial"/>
        </w:rPr>
        <w:t>obejmuje rok b</w:t>
      </w:r>
      <w:r w:rsidR="00E66FF0" w:rsidRPr="00821042">
        <w:rPr>
          <w:rFonts w:cs="Arial"/>
        </w:rPr>
        <w:t>udżetowy</w:t>
      </w:r>
      <w:r w:rsidR="009C14E9" w:rsidRPr="00821042">
        <w:rPr>
          <w:rFonts w:cs="Arial"/>
        </w:rPr>
        <w:t xml:space="preserve"> oraz </w:t>
      </w:r>
      <w:r w:rsidR="00207311" w:rsidRPr="00821042">
        <w:rPr>
          <w:rFonts w:cs="Arial"/>
        </w:rPr>
        <w:br/>
      </w:r>
      <w:r w:rsidR="009C14E9" w:rsidRPr="00821042">
        <w:rPr>
          <w:rFonts w:cs="Arial"/>
        </w:rPr>
        <w:t>3 kolejne lata.</w:t>
      </w:r>
      <w:r w:rsidR="008978B6" w:rsidRPr="00821042">
        <w:rPr>
          <w:rFonts w:cs="Arial"/>
        </w:rPr>
        <w:t xml:space="preserve"> </w:t>
      </w:r>
      <w:r w:rsidR="009C14E9" w:rsidRPr="00821042">
        <w:rPr>
          <w:rFonts w:cs="Arial"/>
        </w:rPr>
        <w:t>L</w:t>
      </w:r>
      <w:r w:rsidRPr="00821042">
        <w:rPr>
          <w:rFonts w:cs="Arial"/>
        </w:rPr>
        <w:t xml:space="preserve">imity wydatków na poszczególne rodzaje przedsięwzięć określono do </w:t>
      </w:r>
      <w:r w:rsidR="00821042" w:rsidRPr="00821042">
        <w:rPr>
          <w:rFonts w:cs="Arial"/>
        </w:rPr>
        <w:t>2021</w:t>
      </w:r>
      <w:r w:rsidRPr="00821042">
        <w:rPr>
          <w:rFonts w:cs="Arial"/>
        </w:rPr>
        <w:t xml:space="preserve"> roku</w:t>
      </w:r>
      <w:r w:rsidR="008978B6" w:rsidRPr="00821042">
        <w:rPr>
          <w:rFonts w:cs="Arial"/>
        </w:rPr>
        <w:t>.</w:t>
      </w:r>
    </w:p>
    <w:p w:rsidR="00426921" w:rsidRPr="00821042" w:rsidRDefault="00426921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  <w:t>Dodatkowo całkowitą spłatę zaciągniętych przez Miasto zobowiązań z tytułu pożyczek, kredytów or</w:t>
      </w:r>
      <w:r w:rsidR="00821042" w:rsidRPr="00821042">
        <w:rPr>
          <w:rFonts w:cs="Arial"/>
        </w:rPr>
        <w:t>az obligacji zaplanowano do 2030</w:t>
      </w:r>
      <w:r w:rsidRPr="00821042">
        <w:rPr>
          <w:rFonts w:cs="Arial"/>
        </w:rPr>
        <w:t xml:space="preserve"> roku, a co za tym idzie prognoza kwoty dł</w:t>
      </w:r>
      <w:r w:rsidR="00821042" w:rsidRPr="00821042">
        <w:rPr>
          <w:rFonts w:cs="Arial"/>
        </w:rPr>
        <w:t>ugu obejmuje okres do 2030</w:t>
      </w:r>
      <w:r w:rsidR="006C06AF" w:rsidRPr="00821042">
        <w:rPr>
          <w:rFonts w:cs="Arial"/>
        </w:rPr>
        <w:t xml:space="preserve"> roku (od roku 201</w:t>
      </w:r>
      <w:r w:rsidR="007F1FD4" w:rsidRPr="00821042">
        <w:rPr>
          <w:rFonts w:cs="Arial"/>
        </w:rPr>
        <w:t>9</w:t>
      </w:r>
      <w:r w:rsidR="00821042" w:rsidRPr="00821042">
        <w:rPr>
          <w:rFonts w:cs="Arial"/>
        </w:rPr>
        <w:t xml:space="preserve"> do 2030</w:t>
      </w:r>
      <w:r w:rsidR="006C06AF" w:rsidRPr="00821042">
        <w:rPr>
          <w:rFonts w:cs="Arial"/>
        </w:rPr>
        <w:t xml:space="preserve"> uzupełniona jest jedynie</w:t>
      </w:r>
      <w:r w:rsidR="00207311" w:rsidRPr="00821042">
        <w:rPr>
          <w:rFonts w:cs="Arial"/>
        </w:rPr>
        <w:t xml:space="preserve"> </w:t>
      </w:r>
      <w:r w:rsidR="006C06AF" w:rsidRPr="00821042">
        <w:rPr>
          <w:rFonts w:cs="Arial"/>
        </w:rPr>
        <w:t>w pozycjach niezbędnych do wyliczenia indywidualnego wskaźnika zadłużenia).</w:t>
      </w:r>
    </w:p>
    <w:p w:rsidR="008978B6" w:rsidRPr="00821042" w:rsidRDefault="008978B6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  <w:t xml:space="preserve">Wieloletnia </w:t>
      </w:r>
      <w:r w:rsidR="00207311" w:rsidRPr="00821042">
        <w:rPr>
          <w:rFonts w:cs="Arial"/>
        </w:rPr>
        <w:t>Prognoza F</w:t>
      </w:r>
      <w:r w:rsidRPr="00821042">
        <w:rPr>
          <w:rFonts w:cs="Arial"/>
        </w:rPr>
        <w:t xml:space="preserve">inansowa </w:t>
      </w:r>
      <w:r w:rsidR="009C14E9" w:rsidRPr="00821042">
        <w:rPr>
          <w:rFonts w:cs="Arial"/>
        </w:rPr>
        <w:t xml:space="preserve">została </w:t>
      </w:r>
      <w:r w:rsidR="006C06AF" w:rsidRPr="00821042">
        <w:rPr>
          <w:rFonts w:cs="Arial"/>
        </w:rPr>
        <w:t>sporządzona zgodnie z wymogami prawnymi</w:t>
      </w:r>
      <w:r w:rsidR="009C14E9" w:rsidRPr="00821042">
        <w:rPr>
          <w:rFonts w:cs="Arial"/>
        </w:rPr>
        <w:t xml:space="preserve"> </w:t>
      </w:r>
      <w:r w:rsidR="001404C2">
        <w:rPr>
          <w:rFonts w:cs="Arial"/>
        </w:rPr>
        <w:t xml:space="preserve">                            </w:t>
      </w:r>
      <w:r w:rsidR="009C14E9" w:rsidRPr="00821042">
        <w:rPr>
          <w:rFonts w:cs="Arial"/>
        </w:rPr>
        <w:t xml:space="preserve">w szczegółowości określonej wzorem ustalonym przez Ministra Finansów </w:t>
      </w:r>
      <w:r w:rsidR="006C06AF" w:rsidRPr="00821042">
        <w:rPr>
          <w:rFonts w:cs="Arial"/>
        </w:rPr>
        <w:br/>
      </w:r>
      <w:r w:rsidR="009C14E9" w:rsidRPr="00821042">
        <w:rPr>
          <w:rFonts w:cs="Arial"/>
        </w:rPr>
        <w:t>w rozporządzeniu z dnia 10 stycznia 2013 r.</w:t>
      </w:r>
      <w:r w:rsidR="006C06AF" w:rsidRPr="00821042">
        <w:rPr>
          <w:rFonts w:cs="Arial"/>
        </w:rPr>
        <w:t xml:space="preserve"> Wieloletnia Prognoza Finansowa przekazywana jest Regionalnej Izbie Obrachunkowej w wersji elektronicznej</w:t>
      </w:r>
      <w:r w:rsidR="00750CE9" w:rsidRPr="00821042">
        <w:rPr>
          <w:rFonts w:cs="Arial"/>
        </w:rPr>
        <w:t>,</w:t>
      </w:r>
      <w:r w:rsidR="006C06AF" w:rsidRPr="00821042">
        <w:rPr>
          <w:rFonts w:cs="Arial"/>
        </w:rPr>
        <w:t xml:space="preserve"> </w:t>
      </w:r>
      <w:r w:rsidR="00750CE9" w:rsidRPr="00821042">
        <w:rPr>
          <w:rFonts w:cs="Arial"/>
        </w:rPr>
        <w:t xml:space="preserve">podpisanej kwalifikowanym podpisem elektronicznym, </w:t>
      </w:r>
      <w:r w:rsidR="006C06AF" w:rsidRPr="00821042">
        <w:rPr>
          <w:rFonts w:cs="Arial"/>
        </w:rPr>
        <w:t>za pośrednictwem wskazanego przez Ministra Finansów oprogramowania</w:t>
      </w:r>
      <w:r w:rsidR="00750CE9" w:rsidRPr="00821042">
        <w:rPr>
          <w:rFonts w:cs="Arial"/>
        </w:rPr>
        <w:t>.</w:t>
      </w:r>
    </w:p>
    <w:p w:rsidR="008978B6" w:rsidRPr="00821042" w:rsidRDefault="00426921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8978B6" w:rsidRPr="00821042">
        <w:rPr>
          <w:rFonts w:cs="Arial"/>
        </w:rPr>
        <w:t xml:space="preserve">Przystępując do sporządzenia </w:t>
      </w:r>
      <w:r w:rsidR="00207311" w:rsidRPr="00821042">
        <w:rPr>
          <w:rFonts w:cs="Arial"/>
        </w:rPr>
        <w:t>W</w:t>
      </w:r>
      <w:r w:rsidR="008978B6" w:rsidRPr="00821042">
        <w:rPr>
          <w:rFonts w:cs="Arial"/>
        </w:rPr>
        <w:t xml:space="preserve">ieloletniej </w:t>
      </w:r>
      <w:r w:rsidR="00207311" w:rsidRPr="00821042">
        <w:rPr>
          <w:rFonts w:cs="Arial"/>
        </w:rPr>
        <w:t>P</w:t>
      </w:r>
      <w:r w:rsidR="008978B6" w:rsidRPr="00821042">
        <w:rPr>
          <w:rFonts w:cs="Arial"/>
        </w:rPr>
        <w:t xml:space="preserve">rognozy </w:t>
      </w:r>
      <w:r w:rsidR="00207311" w:rsidRPr="00821042">
        <w:rPr>
          <w:rFonts w:cs="Arial"/>
        </w:rPr>
        <w:t>F</w:t>
      </w:r>
      <w:r w:rsidR="008978B6" w:rsidRPr="00821042">
        <w:rPr>
          <w:rFonts w:cs="Arial"/>
        </w:rPr>
        <w:t>inansowej oparto się na analizie realizacji wielkości budżetowych w latach poprzednich</w:t>
      </w:r>
      <w:r w:rsidR="00E66FF0" w:rsidRPr="00821042">
        <w:rPr>
          <w:rFonts w:cs="Arial"/>
        </w:rPr>
        <w:t>.</w:t>
      </w:r>
      <w:r w:rsidR="008978B6" w:rsidRPr="00821042">
        <w:rPr>
          <w:rFonts w:cs="Arial"/>
        </w:rPr>
        <w:t xml:space="preserve"> Dodatkowo </w:t>
      </w:r>
      <w:r w:rsidR="00750CE9" w:rsidRPr="00821042">
        <w:rPr>
          <w:rFonts w:cs="Arial"/>
        </w:rPr>
        <w:t>WPF oparto na</w:t>
      </w:r>
      <w:r w:rsidR="008978B6" w:rsidRPr="00821042">
        <w:rPr>
          <w:rFonts w:cs="Arial"/>
        </w:rPr>
        <w:t xml:space="preserve"> </w:t>
      </w:r>
      <w:r w:rsidR="00750CE9" w:rsidRPr="00821042">
        <w:rPr>
          <w:rFonts w:cs="Arial"/>
        </w:rPr>
        <w:t>realistycznym</w:t>
      </w:r>
      <w:r w:rsidR="008978B6" w:rsidRPr="00821042">
        <w:rPr>
          <w:rFonts w:cs="Arial"/>
        </w:rPr>
        <w:t xml:space="preserve"> poziom</w:t>
      </w:r>
      <w:r w:rsidR="00750CE9" w:rsidRPr="00821042">
        <w:rPr>
          <w:rFonts w:cs="Arial"/>
        </w:rPr>
        <w:t>ie</w:t>
      </w:r>
      <w:r w:rsidR="008978B6" w:rsidRPr="00821042">
        <w:rPr>
          <w:rFonts w:cs="Arial"/>
        </w:rPr>
        <w:t xml:space="preserve"> dochodów, a co za tym idzie możliwości realizacji wydatków na lata objęte prognozą.</w:t>
      </w:r>
    </w:p>
    <w:p w:rsidR="00AC11D3" w:rsidRPr="00821042" w:rsidRDefault="002B2FC5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207311" w:rsidRPr="00821042">
        <w:rPr>
          <w:rFonts w:cs="Arial"/>
        </w:rPr>
        <w:t>Dane dotyczące kwot dochodów i wydatków bieżąc</w:t>
      </w:r>
      <w:r w:rsidR="00275DC9" w:rsidRPr="00821042">
        <w:rPr>
          <w:rFonts w:cs="Arial"/>
        </w:rPr>
        <w:t>ych w zakresie roku 2016</w:t>
      </w:r>
      <w:r w:rsidR="00207311" w:rsidRPr="00821042">
        <w:rPr>
          <w:rFonts w:cs="Arial"/>
        </w:rPr>
        <w:t xml:space="preserve"> są zg</w:t>
      </w:r>
      <w:r w:rsidR="00275DC9" w:rsidRPr="00821042">
        <w:rPr>
          <w:rFonts w:cs="Arial"/>
        </w:rPr>
        <w:t>odne</w:t>
      </w:r>
      <w:r w:rsidR="00856A8A">
        <w:rPr>
          <w:rFonts w:cs="Arial"/>
        </w:rPr>
        <w:t xml:space="preserve">                           </w:t>
      </w:r>
      <w:r w:rsidR="00275DC9" w:rsidRPr="00821042">
        <w:rPr>
          <w:rFonts w:cs="Arial"/>
        </w:rPr>
        <w:t xml:space="preserve"> z projektem budżetu na 2016</w:t>
      </w:r>
      <w:r w:rsidR="00207311" w:rsidRPr="00821042">
        <w:rPr>
          <w:rFonts w:cs="Arial"/>
        </w:rPr>
        <w:t xml:space="preserve"> rok</w:t>
      </w:r>
      <w:r w:rsidR="009E1B6D" w:rsidRPr="00821042">
        <w:rPr>
          <w:rFonts w:cs="Arial"/>
        </w:rPr>
        <w:t xml:space="preserve"> i w zak</w:t>
      </w:r>
      <w:r w:rsidR="001404C2">
        <w:rPr>
          <w:rFonts w:cs="Arial"/>
        </w:rPr>
        <w:t xml:space="preserve">resie części dochodów wynikają </w:t>
      </w:r>
      <w:r w:rsidR="009E1B6D" w:rsidRPr="00821042">
        <w:rPr>
          <w:rFonts w:cs="Arial"/>
        </w:rPr>
        <w:t xml:space="preserve">z zawiadomień przekazanych przez Ministra Finansów i Wojewodę Śląskiego.  </w:t>
      </w:r>
      <w:r w:rsidR="00207311" w:rsidRPr="00821042">
        <w:rPr>
          <w:rFonts w:cs="Arial"/>
        </w:rPr>
        <w:t xml:space="preserve"> </w:t>
      </w:r>
      <w:r w:rsidR="009E1B6D" w:rsidRPr="00821042">
        <w:rPr>
          <w:rFonts w:cs="Arial"/>
        </w:rPr>
        <w:t>N</w:t>
      </w:r>
      <w:r w:rsidR="00207311" w:rsidRPr="00821042">
        <w:rPr>
          <w:rFonts w:cs="Arial"/>
        </w:rPr>
        <w:t>atomiast k</w:t>
      </w:r>
      <w:r w:rsidRPr="00821042">
        <w:rPr>
          <w:rFonts w:cs="Arial"/>
        </w:rPr>
        <w:t xml:space="preserve">onstruując wielkości dotyczące kolejnych lat przyjęto zasadę, iż dochody </w:t>
      </w:r>
      <w:r w:rsidR="00A657CD" w:rsidRPr="00821042">
        <w:rPr>
          <w:rFonts w:cs="Arial"/>
        </w:rPr>
        <w:t xml:space="preserve">bieżące </w:t>
      </w:r>
      <w:r w:rsidRPr="00821042">
        <w:rPr>
          <w:rFonts w:cs="Arial"/>
        </w:rPr>
        <w:t>w stosunku do roku poprzednie</w:t>
      </w:r>
      <w:r w:rsidR="00750CE9" w:rsidRPr="00821042">
        <w:rPr>
          <w:rFonts w:cs="Arial"/>
        </w:rPr>
        <w:t>go w przybliżeniu wzrastają</w:t>
      </w:r>
      <w:r w:rsidR="00512905">
        <w:rPr>
          <w:rFonts w:cs="Arial"/>
        </w:rPr>
        <w:t xml:space="preserve"> o</w:t>
      </w:r>
      <w:r w:rsidR="00166EEB">
        <w:rPr>
          <w:rFonts w:cs="Arial"/>
        </w:rPr>
        <w:t> </w:t>
      </w:r>
      <w:r w:rsidR="00512905">
        <w:rPr>
          <w:rFonts w:cs="Arial"/>
        </w:rPr>
        <w:t>około 3 %</w:t>
      </w:r>
      <w:r w:rsidR="00750CE9" w:rsidRPr="00821042">
        <w:rPr>
          <w:rFonts w:cs="Arial"/>
        </w:rPr>
        <w:t xml:space="preserve"> </w:t>
      </w:r>
      <w:r w:rsidR="00512905">
        <w:rPr>
          <w:rFonts w:cs="Arial"/>
        </w:rPr>
        <w:t xml:space="preserve"> - w</w:t>
      </w:r>
      <w:r w:rsidR="00AC11D3" w:rsidRPr="00821042">
        <w:rPr>
          <w:rFonts w:cs="Arial"/>
        </w:rPr>
        <w:t xml:space="preserve"> szczególności</w:t>
      </w:r>
      <w:r w:rsidR="00512905">
        <w:rPr>
          <w:rFonts w:cs="Arial"/>
        </w:rPr>
        <w:t xml:space="preserve"> w kolejnych latach 2016</w:t>
      </w:r>
      <w:r w:rsidR="00207311" w:rsidRPr="00821042">
        <w:rPr>
          <w:rFonts w:cs="Arial"/>
        </w:rPr>
        <w:t>-2018</w:t>
      </w:r>
      <w:r w:rsidR="00B86B0C" w:rsidRPr="00821042">
        <w:rPr>
          <w:rFonts w:cs="Arial"/>
        </w:rPr>
        <w:t>,</w:t>
      </w:r>
    </w:p>
    <w:p w:rsidR="00AC11D3" w:rsidRPr="00821042" w:rsidRDefault="00750CE9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lastRenderedPageBreak/>
        <w:t>- kolumna</w:t>
      </w:r>
      <w:r w:rsidR="00AC11D3" w:rsidRPr="00821042">
        <w:rPr>
          <w:rFonts w:cs="Arial"/>
        </w:rPr>
        <w:t xml:space="preserve"> 1.1.1 </w:t>
      </w:r>
      <w:r w:rsidR="00207311" w:rsidRPr="00821042">
        <w:rPr>
          <w:rFonts w:cs="Arial"/>
        </w:rPr>
        <w:t>- d</w:t>
      </w:r>
      <w:r w:rsidR="00AC11D3" w:rsidRPr="00821042">
        <w:rPr>
          <w:rFonts w:cs="Arial"/>
        </w:rPr>
        <w:t xml:space="preserve">ochody z tytułu udziału w podatku dochodowym od osób fizycznych </w:t>
      </w:r>
      <w:r w:rsidR="009E1B6D" w:rsidRPr="00821042">
        <w:rPr>
          <w:rFonts w:cs="Arial"/>
        </w:rPr>
        <w:t>(</w:t>
      </w:r>
      <w:r w:rsidR="00207311" w:rsidRPr="00821042">
        <w:rPr>
          <w:rFonts w:cs="Arial"/>
        </w:rPr>
        <w:t xml:space="preserve">prognozowane przez </w:t>
      </w:r>
      <w:r w:rsidR="009E1B6D" w:rsidRPr="00821042">
        <w:rPr>
          <w:rFonts w:cs="Arial"/>
        </w:rPr>
        <w:t xml:space="preserve">Ministerstwo Finansów na 2015 rok) w kolejnych latach </w:t>
      </w:r>
      <w:r w:rsidR="00AC11D3" w:rsidRPr="00821042">
        <w:rPr>
          <w:rFonts w:cs="Arial"/>
        </w:rPr>
        <w:t xml:space="preserve">wzrastają o </w:t>
      </w:r>
      <w:r w:rsidR="006864D9" w:rsidRPr="00821042">
        <w:rPr>
          <w:rFonts w:cs="Arial"/>
        </w:rPr>
        <w:t xml:space="preserve">ok. </w:t>
      </w:r>
      <w:r w:rsidRPr="00821042">
        <w:rPr>
          <w:rFonts w:cs="Arial"/>
        </w:rPr>
        <w:t>2</w:t>
      </w:r>
      <w:r w:rsidR="00AC11D3" w:rsidRPr="00821042">
        <w:rPr>
          <w:rFonts w:cs="Arial"/>
        </w:rPr>
        <w:t>%</w:t>
      </w:r>
      <w:r w:rsidR="00207311" w:rsidRPr="00821042">
        <w:rPr>
          <w:rFonts w:cs="Arial"/>
        </w:rPr>
        <w:t xml:space="preserve"> w stosunku do roku poprzedzającego</w:t>
      </w:r>
      <w:r w:rsidR="00AC11D3" w:rsidRPr="00821042">
        <w:rPr>
          <w:rFonts w:cs="Arial"/>
        </w:rPr>
        <w:t>,</w:t>
      </w:r>
    </w:p>
    <w:p w:rsidR="002B2FC5" w:rsidRPr="00821042" w:rsidRDefault="00750CE9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- kolumna</w:t>
      </w:r>
      <w:r w:rsidR="00AC11D3" w:rsidRPr="00821042">
        <w:rPr>
          <w:rFonts w:cs="Arial"/>
        </w:rPr>
        <w:t xml:space="preserve"> 1.1.2</w:t>
      </w:r>
      <w:r w:rsidRPr="00821042">
        <w:rPr>
          <w:rFonts w:cs="Arial"/>
        </w:rPr>
        <w:t xml:space="preserve"> </w:t>
      </w:r>
      <w:r w:rsidR="00207311" w:rsidRPr="00821042">
        <w:rPr>
          <w:rFonts w:cs="Arial"/>
        </w:rPr>
        <w:t>- d</w:t>
      </w:r>
      <w:r w:rsidR="00AC11D3" w:rsidRPr="00821042">
        <w:rPr>
          <w:rFonts w:cs="Arial"/>
        </w:rPr>
        <w:t xml:space="preserve">ochody z tytułu udziału w podatku dochodowym od osób prawnych – </w:t>
      </w:r>
      <w:r w:rsidRPr="00821042">
        <w:rPr>
          <w:rFonts w:cs="Arial"/>
        </w:rPr>
        <w:t>u</w:t>
      </w:r>
      <w:r w:rsidR="00AC11D3" w:rsidRPr="00821042">
        <w:rPr>
          <w:rFonts w:cs="Arial"/>
        </w:rPr>
        <w:t>stalono na poziomie</w:t>
      </w:r>
      <w:r w:rsidR="00821042">
        <w:rPr>
          <w:rFonts w:cs="Arial"/>
        </w:rPr>
        <w:t xml:space="preserve"> wynikającym z przewidywanego wykonania 2015 roku</w:t>
      </w:r>
      <w:r w:rsidR="00AC11D3" w:rsidRPr="00821042">
        <w:rPr>
          <w:rFonts w:cs="Arial"/>
        </w:rPr>
        <w:t>,</w:t>
      </w:r>
    </w:p>
    <w:p w:rsidR="00AC11D3" w:rsidRPr="00821042" w:rsidRDefault="006E7860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- kolumna</w:t>
      </w:r>
      <w:r w:rsidR="00AC11D3" w:rsidRPr="00821042">
        <w:rPr>
          <w:rFonts w:cs="Arial"/>
        </w:rPr>
        <w:t xml:space="preserve"> 1.1.3</w:t>
      </w:r>
      <w:r w:rsidR="00207311" w:rsidRPr="00821042">
        <w:rPr>
          <w:rFonts w:cs="Arial"/>
        </w:rPr>
        <w:t xml:space="preserve"> -</w:t>
      </w:r>
      <w:r w:rsidR="00AC11D3" w:rsidRPr="00821042">
        <w:rPr>
          <w:rFonts w:cs="Arial"/>
        </w:rPr>
        <w:t xml:space="preserve"> </w:t>
      </w:r>
      <w:r w:rsidR="00207311" w:rsidRPr="00821042">
        <w:rPr>
          <w:rFonts w:cs="Arial"/>
        </w:rPr>
        <w:t>p</w:t>
      </w:r>
      <w:r w:rsidR="00AC11D3" w:rsidRPr="00821042">
        <w:rPr>
          <w:rFonts w:cs="Arial"/>
        </w:rPr>
        <w:t>odatki i opłaty. Kwota obejmuje dochody planowane</w:t>
      </w:r>
      <w:r w:rsidR="00750CE9" w:rsidRPr="00821042">
        <w:rPr>
          <w:rFonts w:cs="Arial"/>
        </w:rPr>
        <w:t xml:space="preserve"> w</w:t>
      </w:r>
      <w:r w:rsidR="00AC11D3" w:rsidRPr="00821042">
        <w:rPr>
          <w:rFonts w:cs="Arial"/>
        </w:rPr>
        <w:t xml:space="preserve"> </w:t>
      </w:r>
      <w:r w:rsidR="00750CE9" w:rsidRPr="00821042">
        <w:rPr>
          <w:rFonts w:cs="Arial"/>
        </w:rPr>
        <w:t xml:space="preserve">budżecie </w:t>
      </w:r>
      <w:r w:rsidR="00207311" w:rsidRPr="00821042">
        <w:rPr>
          <w:rFonts w:cs="Arial"/>
        </w:rPr>
        <w:br/>
      </w:r>
      <w:r w:rsidR="00AC11D3" w:rsidRPr="00821042">
        <w:rPr>
          <w:rFonts w:cs="Arial"/>
        </w:rPr>
        <w:t xml:space="preserve">w działach </w:t>
      </w:r>
      <w:r w:rsidR="00750CE9" w:rsidRPr="00821042">
        <w:rPr>
          <w:rFonts w:cs="Arial"/>
        </w:rPr>
        <w:t xml:space="preserve">75601, </w:t>
      </w:r>
      <w:r w:rsidR="00AC11D3" w:rsidRPr="00821042">
        <w:rPr>
          <w:rFonts w:cs="Arial"/>
        </w:rPr>
        <w:t>75615</w:t>
      </w:r>
      <w:r w:rsidR="00821042">
        <w:rPr>
          <w:rFonts w:cs="Arial"/>
        </w:rPr>
        <w:t xml:space="preserve">, 75616, 75618 i wzrasta o ok. 9 </w:t>
      </w:r>
      <w:r w:rsidR="00AC11D3" w:rsidRPr="00821042">
        <w:rPr>
          <w:rFonts w:cs="Arial"/>
        </w:rPr>
        <w:t xml:space="preserve">% rocznie, z tego </w:t>
      </w:r>
      <w:r w:rsidRPr="00821042">
        <w:rPr>
          <w:rFonts w:cs="Arial"/>
        </w:rPr>
        <w:t>podatek od nieruchomości (kolumna</w:t>
      </w:r>
      <w:r w:rsidR="00821042">
        <w:rPr>
          <w:rFonts w:cs="Arial"/>
        </w:rPr>
        <w:t xml:space="preserve"> 1.1.3.1) </w:t>
      </w:r>
      <w:r w:rsidR="00AC11D3" w:rsidRPr="00821042">
        <w:rPr>
          <w:rFonts w:cs="Arial"/>
        </w:rPr>
        <w:t xml:space="preserve">wzrasta o </w:t>
      </w:r>
      <w:r w:rsidR="006864D9" w:rsidRPr="00821042">
        <w:rPr>
          <w:rFonts w:cs="Arial"/>
        </w:rPr>
        <w:t xml:space="preserve">ok. </w:t>
      </w:r>
      <w:r w:rsidR="00821042">
        <w:rPr>
          <w:rFonts w:cs="Arial"/>
        </w:rPr>
        <w:t xml:space="preserve">3 </w:t>
      </w:r>
      <w:r w:rsidR="00AC11D3" w:rsidRPr="00821042">
        <w:rPr>
          <w:rFonts w:cs="Arial"/>
        </w:rPr>
        <w:t>%</w:t>
      </w:r>
      <w:r w:rsidR="00207311" w:rsidRPr="00821042">
        <w:rPr>
          <w:rFonts w:cs="Arial"/>
        </w:rPr>
        <w:t xml:space="preserve"> w stosunku do roku poprzedzającego</w:t>
      </w:r>
      <w:r w:rsidR="0037456C" w:rsidRPr="00821042">
        <w:rPr>
          <w:rFonts w:cs="Arial"/>
        </w:rPr>
        <w:t>,</w:t>
      </w:r>
    </w:p>
    <w:p w:rsidR="009E1B6D" w:rsidRPr="00821042" w:rsidRDefault="00750CE9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- kolumna</w:t>
      </w:r>
      <w:r w:rsidR="0037456C" w:rsidRPr="00821042">
        <w:rPr>
          <w:rFonts w:cs="Arial"/>
        </w:rPr>
        <w:t xml:space="preserve"> 1.1.4 Subwencje ogólne – </w:t>
      </w:r>
      <w:r w:rsidR="009E1B6D" w:rsidRPr="00821042">
        <w:rPr>
          <w:rFonts w:cs="Arial"/>
        </w:rPr>
        <w:t>w kolejnych latach założono wzrost planowanej na 2015 rok p</w:t>
      </w:r>
      <w:r w:rsidR="00166EEB">
        <w:rPr>
          <w:rFonts w:cs="Arial"/>
        </w:rPr>
        <w:t xml:space="preserve">rzez Ministra Finansów kwoty </w:t>
      </w:r>
      <w:r w:rsidR="009A57BF">
        <w:rPr>
          <w:rFonts w:cs="Arial"/>
        </w:rPr>
        <w:t>rok</w:t>
      </w:r>
      <w:r w:rsidR="009E1B6D" w:rsidRPr="00821042">
        <w:rPr>
          <w:rFonts w:cs="Arial"/>
        </w:rPr>
        <w:t xml:space="preserve">rocznie o </w:t>
      </w:r>
      <w:r w:rsidR="006864D9" w:rsidRPr="00821042">
        <w:rPr>
          <w:rFonts w:cs="Arial"/>
        </w:rPr>
        <w:t xml:space="preserve">ok. </w:t>
      </w:r>
      <w:r w:rsidR="00821042">
        <w:rPr>
          <w:rFonts w:cs="Arial"/>
        </w:rPr>
        <w:t>3</w:t>
      </w:r>
      <w:r w:rsidR="0037456C" w:rsidRPr="00821042">
        <w:rPr>
          <w:rFonts w:cs="Arial"/>
        </w:rPr>
        <w:t>%</w:t>
      </w:r>
      <w:r w:rsidR="009E1B6D" w:rsidRPr="00821042">
        <w:rPr>
          <w:rFonts w:cs="Arial"/>
        </w:rPr>
        <w:t>,</w:t>
      </w:r>
      <w:r w:rsidR="00207311" w:rsidRPr="00821042">
        <w:rPr>
          <w:rFonts w:cs="Arial"/>
        </w:rPr>
        <w:t xml:space="preserve"> </w:t>
      </w:r>
    </w:p>
    <w:p w:rsidR="0037456C" w:rsidRPr="00821042" w:rsidRDefault="00750CE9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- kolumna</w:t>
      </w:r>
      <w:r w:rsidR="0037456C" w:rsidRPr="00821042">
        <w:rPr>
          <w:rFonts w:cs="Arial"/>
        </w:rPr>
        <w:t xml:space="preserve"> 1.1.5 Dotacje i środki przeznaczone na cele bieżące – </w:t>
      </w:r>
      <w:r w:rsidR="001404C2">
        <w:rPr>
          <w:rFonts w:cs="Arial"/>
        </w:rPr>
        <w:t>spadek w stosunku</w:t>
      </w:r>
      <w:r w:rsidR="00207311" w:rsidRPr="00821042">
        <w:rPr>
          <w:rFonts w:cs="Arial"/>
        </w:rPr>
        <w:t xml:space="preserve"> do</w:t>
      </w:r>
      <w:r w:rsidR="000261B0">
        <w:rPr>
          <w:rFonts w:cs="Arial"/>
        </w:rPr>
        <w:t xml:space="preserve"> </w:t>
      </w:r>
      <w:r w:rsidR="001404C2">
        <w:rPr>
          <w:rFonts w:cs="Arial"/>
        </w:rPr>
        <w:t xml:space="preserve">planu </w:t>
      </w:r>
      <w:r w:rsidR="00207311" w:rsidRPr="00821042">
        <w:rPr>
          <w:rFonts w:cs="Arial"/>
        </w:rPr>
        <w:t>roku poprzedzającego</w:t>
      </w:r>
      <w:r w:rsidR="0037456C" w:rsidRPr="00821042">
        <w:rPr>
          <w:rFonts w:cs="Arial"/>
        </w:rPr>
        <w:t>.</w:t>
      </w:r>
    </w:p>
    <w:p w:rsidR="008978B6" w:rsidRPr="00821042" w:rsidRDefault="002827D3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207311" w:rsidRPr="00821042">
        <w:rPr>
          <w:rFonts w:cs="Arial"/>
        </w:rPr>
        <w:t>Wieloletnia P</w:t>
      </w:r>
      <w:r w:rsidR="008978B6" w:rsidRPr="00821042">
        <w:rPr>
          <w:rFonts w:cs="Arial"/>
        </w:rPr>
        <w:t xml:space="preserve">rognoza </w:t>
      </w:r>
      <w:r w:rsidR="00207311" w:rsidRPr="00821042">
        <w:rPr>
          <w:rFonts w:cs="Arial"/>
        </w:rPr>
        <w:t>F</w:t>
      </w:r>
      <w:r w:rsidR="008978B6" w:rsidRPr="00821042">
        <w:rPr>
          <w:rFonts w:cs="Arial"/>
        </w:rPr>
        <w:t>inans</w:t>
      </w:r>
      <w:r w:rsidR="007F1FD4" w:rsidRPr="00821042">
        <w:rPr>
          <w:rFonts w:cs="Arial"/>
        </w:rPr>
        <w:t>owa</w:t>
      </w:r>
      <w:r w:rsidR="008978B6" w:rsidRPr="00821042">
        <w:rPr>
          <w:rFonts w:cs="Arial"/>
        </w:rPr>
        <w:t xml:space="preserve"> </w:t>
      </w:r>
      <w:r w:rsidR="002B2FC5" w:rsidRPr="00821042">
        <w:rPr>
          <w:rFonts w:cs="Arial"/>
        </w:rPr>
        <w:t>zakłada nadwyżkę dochodów bieżących</w:t>
      </w:r>
      <w:r w:rsidR="008978B6" w:rsidRPr="00821042">
        <w:rPr>
          <w:rFonts w:cs="Arial"/>
        </w:rPr>
        <w:t xml:space="preserve"> </w:t>
      </w:r>
      <w:r w:rsidR="00207311" w:rsidRPr="00821042">
        <w:rPr>
          <w:rFonts w:cs="Arial"/>
        </w:rPr>
        <w:br/>
      </w:r>
      <w:r w:rsidR="008978B6" w:rsidRPr="00821042">
        <w:rPr>
          <w:rFonts w:cs="Arial"/>
        </w:rPr>
        <w:t xml:space="preserve">w stosunku do </w:t>
      </w:r>
      <w:r w:rsidR="002B2FC5" w:rsidRPr="00821042">
        <w:rPr>
          <w:rFonts w:cs="Arial"/>
        </w:rPr>
        <w:t>wydatków bieżących</w:t>
      </w:r>
      <w:r w:rsidR="008978B6" w:rsidRPr="00821042">
        <w:rPr>
          <w:rFonts w:cs="Arial"/>
        </w:rPr>
        <w:t xml:space="preserve">, celem </w:t>
      </w:r>
      <w:r w:rsidR="002B2FC5" w:rsidRPr="00821042">
        <w:rPr>
          <w:rFonts w:cs="Arial"/>
        </w:rPr>
        <w:t xml:space="preserve">zapewnienia środków na spłatę wcześniej zaciągniętych zobowiązań, </w:t>
      </w:r>
      <w:r w:rsidR="008978B6" w:rsidRPr="00821042">
        <w:rPr>
          <w:rFonts w:cs="Arial"/>
        </w:rPr>
        <w:t>a co za tym idzie</w:t>
      </w:r>
      <w:r w:rsidR="002B2FC5" w:rsidRPr="00821042">
        <w:rPr>
          <w:rFonts w:cs="Arial"/>
        </w:rPr>
        <w:t xml:space="preserve">, stałego zmniejszania zadłużenia </w:t>
      </w:r>
      <w:r w:rsidR="008978B6" w:rsidRPr="00821042">
        <w:rPr>
          <w:rFonts w:cs="Arial"/>
        </w:rPr>
        <w:t>miasta.</w:t>
      </w:r>
    </w:p>
    <w:p w:rsidR="00775B65" w:rsidRPr="00821042" w:rsidRDefault="002827D3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775B65" w:rsidRPr="00821042">
        <w:rPr>
          <w:rFonts w:cs="Arial"/>
        </w:rPr>
        <w:t xml:space="preserve">Plan dochodów </w:t>
      </w:r>
      <w:r w:rsidR="00750CE9" w:rsidRPr="00821042">
        <w:rPr>
          <w:rFonts w:cs="Arial"/>
        </w:rPr>
        <w:t>ze sprzedaży majątku na rok 201</w:t>
      </w:r>
      <w:r w:rsidR="009B2C80" w:rsidRPr="00821042">
        <w:rPr>
          <w:rFonts w:cs="Arial"/>
        </w:rPr>
        <w:t>6</w:t>
      </w:r>
      <w:r w:rsidR="00775B65" w:rsidRPr="00821042">
        <w:rPr>
          <w:rFonts w:cs="Arial"/>
        </w:rPr>
        <w:t xml:space="preserve"> oraz na</w:t>
      </w:r>
      <w:r w:rsidR="00750CE9" w:rsidRPr="00821042">
        <w:rPr>
          <w:rFonts w:cs="Arial"/>
        </w:rPr>
        <w:t xml:space="preserve"> kolejne</w:t>
      </w:r>
      <w:r w:rsidR="00775B65" w:rsidRPr="00821042">
        <w:rPr>
          <w:rFonts w:cs="Arial"/>
        </w:rPr>
        <w:t xml:space="preserve"> lata </w:t>
      </w:r>
      <w:r w:rsidR="007E1FBD" w:rsidRPr="00821042">
        <w:rPr>
          <w:rFonts w:cs="Arial"/>
        </w:rPr>
        <w:t xml:space="preserve">(kolumna 1.2.1) </w:t>
      </w:r>
      <w:r w:rsidR="00775B65" w:rsidRPr="00821042">
        <w:rPr>
          <w:rFonts w:cs="Arial"/>
        </w:rPr>
        <w:t xml:space="preserve">oparto o </w:t>
      </w:r>
      <w:r w:rsidR="00750CE9" w:rsidRPr="00821042">
        <w:rPr>
          <w:rFonts w:cs="Arial"/>
        </w:rPr>
        <w:t xml:space="preserve">informację </w:t>
      </w:r>
      <w:r w:rsidR="00921CBB">
        <w:rPr>
          <w:rFonts w:cs="Arial"/>
        </w:rPr>
        <w:t xml:space="preserve">z </w:t>
      </w:r>
      <w:r w:rsidR="00750CE9" w:rsidRPr="00821042">
        <w:rPr>
          <w:rFonts w:cs="Arial"/>
        </w:rPr>
        <w:t xml:space="preserve">wydziału merytorycznego dotyczącą faktycznych możliwości zbywania nieruchomości </w:t>
      </w:r>
      <w:r w:rsidR="00902DB7" w:rsidRPr="00821042">
        <w:rPr>
          <w:rFonts w:cs="Arial"/>
        </w:rPr>
        <w:t>gminnych</w:t>
      </w:r>
      <w:r w:rsidR="00775B65" w:rsidRPr="00821042">
        <w:rPr>
          <w:rFonts w:cs="Arial"/>
        </w:rPr>
        <w:t xml:space="preserve">. </w:t>
      </w:r>
    </w:p>
    <w:p w:rsidR="00657684" w:rsidRPr="00821042" w:rsidRDefault="00657684" w:rsidP="00207311">
      <w:pPr>
        <w:spacing w:before="120" w:after="120" w:line="360" w:lineRule="auto"/>
        <w:ind w:firstLine="708"/>
        <w:jc w:val="both"/>
        <w:rPr>
          <w:rFonts w:cs="Arial"/>
        </w:rPr>
      </w:pPr>
      <w:r w:rsidRPr="00821042">
        <w:rPr>
          <w:rFonts w:cs="Arial"/>
        </w:rPr>
        <w:t>Kwoty</w:t>
      </w:r>
      <w:r w:rsidR="007E1FBD" w:rsidRPr="00821042">
        <w:rPr>
          <w:rFonts w:cs="Arial"/>
        </w:rPr>
        <w:t xml:space="preserve"> wydatków bieżących na lata 201</w:t>
      </w:r>
      <w:r w:rsidR="009B2C80" w:rsidRPr="00821042">
        <w:rPr>
          <w:rFonts w:cs="Arial"/>
        </w:rPr>
        <w:t>6</w:t>
      </w:r>
      <w:r w:rsidRPr="00821042">
        <w:rPr>
          <w:rFonts w:cs="Arial"/>
        </w:rPr>
        <w:t xml:space="preserve"> i dalsze</w:t>
      </w:r>
      <w:r w:rsidR="007E1FBD" w:rsidRPr="00821042">
        <w:rPr>
          <w:rFonts w:cs="Arial"/>
        </w:rPr>
        <w:t xml:space="preserve"> (kolumna 2.1)</w:t>
      </w:r>
      <w:r w:rsidRPr="00821042">
        <w:rPr>
          <w:rFonts w:cs="Arial"/>
        </w:rPr>
        <w:t xml:space="preserve">, zostały </w:t>
      </w:r>
      <w:r w:rsidR="001404C2">
        <w:rPr>
          <w:rFonts w:cs="Arial"/>
        </w:rPr>
        <w:t xml:space="preserve">założone                                    </w:t>
      </w:r>
      <w:r w:rsidR="00D67D00" w:rsidRPr="00821042">
        <w:rPr>
          <w:rFonts w:cs="Arial"/>
        </w:rPr>
        <w:t xml:space="preserve"> </w:t>
      </w:r>
      <w:r w:rsidR="00861F55" w:rsidRPr="00821042">
        <w:rPr>
          <w:rFonts w:cs="Arial"/>
        </w:rPr>
        <w:t>z uwzględnieniem</w:t>
      </w:r>
      <w:r w:rsidRPr="00821042">
        <w:rPr>
          <w:rFonts w:cs="Arial"/>
        </w:rPr>
        <w:t xml:space="preserve"> konieczności wprowadzenia oszczędności</w:t>
      </w:r>
      <w:r w:rsidR="00861F55" w:rsidRPr="00821042">
        <w:rPr>
          <w:rFonts w:cs="Arial"/>
        </w:rPr>
        <w:t xml:space="preserve">, celem spełnienia wskaźnika spłaty zobowiązań. W ramach wydatków bieżących zaplanowano kwoty niezbędne do zabezpieczenia </w:t>
      </w:r>
      <w:r w:rsidR="00553732">
        <w:rPr>
          <w:rFonts w:cs="Arial"/>
        </w:rPr>
        <w:t xml:space="preserve">                        </w:t>
      </w:r>
      <w:r w:rsidR="00861F55" w:rsidRPr="00821042">
        <w:rPr>
          <w:rFonts w:cs="Arial"/>
        </w:rPr>
        <w:t>w budżetach do roku 2023</w:t>
      </w:r>
      <w:r w:rsidRPr="00821042">
        <w:rPr>
          <w:rFonts w:cs="Arial"/>
        </w:rPr>
        <w:t xml:space="preserve"> </w:t>
      </w:r>
      <w:r w:rsidR="00861F55" w:rsidRPr="00821042">
        <w:rPr>
          <w:rFonts w:cs="Arial"/>
        </w:rPr>
        <w:t>(</w:t>
      </w:r>
      <w:r w:rsidR="007E1FBD" w:rsidRPr="00821042">
        <w:rPr>
          <w:rFonts w:cs="Arial"/>
        </w:rPr>
        <w:t>kolumna</w:t>
      </w:r>
      <w:r w:rsidR="00861F55" w:rsidRPr="00821042">
        <w:rPr>
          <w:rFonts w:cs="Arial"/>
        </w:rPr>
        <w:t xml:space="preserve"> 2.1.1) na ewentualną spłatę poręczeń udzielonych przez Miasto Świętochłowice dla </w:t>
      </w:r>
      <w:r w:rsidR="007F1FD4" w:rsidRPr="00821042">
        <w:rPr>
          <w:rFonts w:cs="Arial"/>
        </w:rPr>
        <w:t xml:space="preserve">zobowiązań </w:t>
      </w:r>
      <w:r w:rsidR="00861F55" w:rsidRPr="00821042">
        <w:rPr>
          <w:rFonts w:cs="Arial"/>
        </w:rPr>
        <w:t>Chorzowsko</w:t>
      </w:r>
      <w:r w:rsidR="00207311" w:rsidRPr="00821042">
        <w:rPr>
          <w:rFonts w:cs="Arial"/>
        </w:rPr>
        <w:t xml:space="preserve"> </w:t>
      </w:r>
      <w:r w:rsidR="00861F55" w:rsidRPr="00821042">
        <w:rPr>
          <w:rFonts w:cs="Arial"/>
        </w:rPr>
        <w:t>-</w:t>
      </w:r>
      <w:r w:rsidR="00207311" w:rsidRPr="00821042">
        <w:rPr>
          <w:rFonts w:cs="Arial"/>
        </w:rPr>
        <w:t xml:space="preserve"> </w:t>
      </w:r>
      <w:r w:rsidR="00861F55" w:rsidRPr="00821042">
        <w:rPr>
          <w:rFonts w:cs="Arial"/>
        </w:rPr>
        <w:t>Świętochłowickiego Przedsiębiorstwa Wodociągów</w:t>
      </w:r>
      <w:r w:rsidR="001404C2">
        <w:rPr>
          <w:rFonts w:cs="Arial"/>
        </w:rPr>
        <w:t xml:space="preserve">                     </w:t>
      </w:r>
      <w:r w:rsidR="00861F55" w:rsidRPr="00821042">
        <w:rPr>
          <w:rFonts w:cs="Arial"/>
        </w:rPr>
        <w:t xml:space="preserve"> i Kanalizacji </w:t>
      </w:r>
      <w:r w:rsidR="00553732">
        <w:rPr>
          <w:rFonts w:cs="Arial"/>
        </w:rPr>
        <w:t xml:space="preserve">sp. z o.o. </w:t>
      </w:r>
      <w:r w:rsidR="00861F55" w:rsidRPr="00821042">
        <w:rPr>
          <w:rFonts w:cs="Arial"/>
        </w:rPr>
        <w:t xml:space="preserve">oraz Zespołu Opieki Zdrowotnej w Świętochłowicach sp. z o.o. </w:t>
      </w:r>
    </w:p>
    <w:p w:rsidR="00861F55" w:rsidRPr="00821042" w:rsidRDefault="00747B2D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861F55" w:rsidRPr="00821042">
        <w:rPr>
          <w:rFonts w:cs="Arial"/>
        </w:rPr>
        <w:t>Ponadto w ramach wydatków bieżących wskazano kwoty niezbędne do zaplanowania</w:t>
      </w:r>
      <w:r w:rsidR="001404C2">
        <w:rPr>
          <w:rFonts w:cs="Arial"/>
        </w:rPr>
        <w:t xml:space="preserve">                               </w:t>
      </w:r>
      <w:r w:rsidR="00861F55" w:rsidRPr="00821042">
        <w:rPr>
          <w:rFonts w:cs="Arial"/>
        </w:rPr>
        <w:t xml:space="preserve"> i wydatkowania z budżetów na kolejne lata:</w:t>
      </w:r>
    </w:p>
    <w:p w:rsidR="00861F55" w:rsidRPr="00821042" w:rsidRDefault="00861F55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- na obsługę długu (</w:t>
      </w:r>
      <w:r w:rsidR="007E1FBD" w:rsidRPr="00821042">
        <w:rPr>
          <w:rFonts w:cs="Arial"/>
        </w:rPr>
        <w:t>kolumna</w:t>
      </w:r>
      <w:r w:rsidRPr="00821042">
        <w:rPr>
          <w:rFonts w:cs="Arial"/>
        </w:rPr>
        <w:t xml:space="preserve"> 2.1.3) – wyliczenia oparto na oprocentowaniu wynikającym</w:t>
      </w:r>
      <w:r w:rsidR="00D67D00" w:rsidRPr="00821042">
        <w:rPr>
          <w:rFonts w:cs="Arial"/>
        </w:rPr>
        <w:t xml:space="preserve">  </w:t>
      </w:r>
      <w:r w:rsidRPr="00821042">
        <w:rPr>
          <w:rFonts w:cs="Arial"/>
        </w:rPr>
        <w:t>z zawartych umów</w:t>
      </w:r>
      <w:r w:rsidR="009B2C80" w:rsidRPr="00821042">
        <w:rPr>
          <w:rFonts w:cs="Arial"/>
        </w:rPr>
        <w:t xml:space="preserve"> z uwzględnieniem poziomu</w:t>
      </w:r>
      <w:r w:rsidR="007F1FD4" w:rsidRPr="00821042">
        <w:rPr>
          <w:rFonts w:cs="Arial"/>
        </w:rPr>
        <w:t xml:space="preserve"> oprocentowania WIBOR</w:t>
      </w:r>
      <w:r w:rsidRPr="00821042">
        <w:rPr>
          <w:rFonts w:cs="Arial"/>
        </w:rPr>
        <w:t>,</w:t>
      </w:r>
    </w:p>
    <w:p w:rsidR="00861F55" w:rsidRPr="00821042" w:rsidRDefault="00861F55" w:rsidP="00207311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 xml:space="preserve">- </w:t>
      </w:r>
      <w:r w:rsidR="00747B2D" w:rsidRPr="00821042">
        <w:rPr>
          <w:rFonts w:cs="Arial"/>
        </w:rPr>
        <w:t>spłatę przejętych zobowiązań samodzielnego publicznego zakładu opieki zdrowotnej przekształconego na zasadach określonych w przepisach o działalności leczniczej (</w:t>
      </w:r>
      <w:r w:rsidR="006E7860" w:rsidRPr="00821042">
        <w:rPr>
          <w:rFonts w:cs="Arial"/>
        </w:rPr>
        <w:t>kolumna</w:t>
      </w:r>
      <w:r w:rsidR="00747B2D" w:rsidRPr="00821042">
        <w:rPr>
          <w:rFonts w:cs="Arial"/>
        </w:rPr>
        <w:t xml:space="preserve"> 2.1.2). Przekształcenia w spółkę prawa handlowego dokonano w roku 2012 roku, natomiast spłata przejętych </w:t>
      </w:r>
      <w:r w:rsidR="00747B2D" w:rsidRPr="00821042">
        <w:rPr>
          <w:rFonts w:cs="Arial"/>
        </w:rPr>
        <w:lastRenderedPageBreak/>
        <w:t>zobowiązań rozł</w:t>
      </w:r>
      <w:r w:rsidR="009B2C80" w:rsidRPr="00821042">
        <w:rPr>
          <w:rFonts w:cs="Arial"/>
        </w:rPr>
        <w:t>ożona jest do roku 202</w:t>
      </w:r>
      <w:r w:rsidR="00AF0599" w:rsidRPr="00821042">
        <w:rPr>
          <w:rFonts w:cs="Arial"/>
        </w:rPr>
        <w:t>4</w:t>
      </w:r>
      <w:r w:rsidR="007E1FBD" w:rsidRPr="00821042">
        <w:rPr>
          <w:rFonts w:cs="Arial"/>
        </w:rPr>
        <w:t xml:space="preserve"> roku,</w:t>
      </w:r>
      <w:r w:rsidR="00747B2D" w:rsidRPr="00821042">
        <w:rPr>
          <w:rFonts w:cs="Arial"/>
        </w:rPr>
        <w:t xml:space="preserve"> wynika</w:t>
      </w:r>
      <w:r w:rsidR="007E1FBD" w:rsidRPr="00821042">
        <w:rPr>
          <w:rFonts w:cs="Arial"/>
        </w:rPr>
        <w:t xml:space="preserve"> to</w:t>
      </w:r>
      <w:r w:rsidR="00747B2D" w:rsidRPr="00821042">
        <w:rPr>
          <w:rFonts w:cs="Arial"/>
        </w:rPr>
        <w:t xml:space="preserve"> z umów przejęcia długu </w:t>
      </w:r>
      <w:r w:rsidR="009B2C80" w:rsidRPr="00821042">
        <w:rPr>
          <w:rFonts w:cs="Arial"/>
        </w:rPr>
        <w:t xml:space="preserve">i aneksów do tych umów </w:t>
      </w:r>
      <w:r w:rsidR="00AF0599" w:rsidRPr="00821042">
        <w:rPr>
          <w:rFonts w:cs="Arial"/>
        </w:rPr>
        <w:t xml:space="preserve">zawartych z Bankiem </w:t>
      </w:r>
      <w:proofErr w:type="spellStart"/>
      <w:r w:rsidR="00747B2D" w:rsidRPr="00821042">
        <w:rPr>
          <w:rFonts w:cs="Arial"/>
        </w:rPr>
        <w:t>Nordea</w:t>
      </w:r>
      <w:proofErr w:type="spellEnd"/>
      <w:r w:rsidR="009B2C80" w:rsidRPr="00821042">
        <w:rPr>
          <w:rFonts w:cs="Arial"/>
        </w:rPr>
        <w:t xml:space="preserve"> (PKO BP) </w:t>
      </w:r>
      <w:r w:rsidR="00747B2D" w:rsidRPr="00821042">
        <w:rPr>
          <w:rFonts w:cs="Arial"/>
        </w:rPr>
        <w:t>i Ba</w:t>
      </w:r>
      <w:r w:rsidR="009B2C80" w:rsidRPr="00821042">
        <w:rPr>
          <w:rFonts w:cs="Arial"/>
        </w:rPr>
        <w:t>nkiem Spółdzielczym w Gliwicach.</w:t>
      </w:r>
    </w:p>
    <w:p w:rsidR="006D2247" w:rsidRPr="00821042" w:rsidRDefault="00252B35" w:rsidP="009B2C80">
      <w:pPr>
        <w:spacing w:before="120" w:after="120" w:line="360" w:lineRule="auto"/>
        <w:ind w:firstLine="708"/>
        <w:jc w:val="both"/>
        <w:rPr>
          <w:rFonts w:cs="Arial"/>
        </w:rPr>
      </w:pPr>
      <w:r w:rsidRPr="00821042">
        <w:rPr>
          <w:rFonts w:cs="Arial"/>
        </w:rPr>
        <w:t>W poniższej t</w:t>
      </w:r>
      <w:r w:rsidR="00747B2D" w:rsidRPr="00821042">
        <w:rPr>
          <w:rFonts w:cs="Arial"/>
        </w:rPr>
        <w:t>abel</w:t>
      </w:r>
      <w:r w:rsidRPr="00821042">
        <w:rPr>
          <w:rFonts w:cs="Arial"/>
        </w:rPr>
        <w:t>i</w:t>
      </w:r>
      <w:r w:rsidR="00854FB7" w:rsidRPr="00821042">
        <w:rPr>
          <w:rFonts w:cs="Arial"/>
        </w:rPr>
        <w:t xml:space="preserve"> </w:t>
      </w:r>
      <w:r w:rsidRPr="00821042">
        <w:rPr>
          <w:rFonts w:cs="Arial"/>
        </w:rPr>
        <w:t>przedstawiono</w:t>
      </w:r>
      <w:r w:rsidR="00747B2D" w:rsidRPr="00821042">
        <w:rPr>
          <w:rFonts w:cs="Arial"/>
        </w:rPr>
        <w:t xml:space="preserve"> </w:t>
      </w:r>
      <w:r w:rsidR="00D80BDD" w:rsidRPr="00821042">
        <w:rPr>
          <w:rFonts w:cs="Arial"/>
        </w:rPr>
        <w:t xml:space="preserve">pozostałe do spłaty </w:t>
      </w:r>
      <w:r w:rsidR="00747B2D" w:rsidRPr="00821042">
        <w:rPr>
          <w:rFonts w:cs="Arial"/>
        </w:rPr>
        <w:t xml:space="preserve">kwoty przejętych </w:t>
      </w:r>
      <w:r w:rsidR="00207311" w:rsidRPr="00821042">
        <w:rPr>
          <w:rFonts w:cs="Arial"/>
        </w:rPr>
        <w:br/>
      </w:r>
      <w:r w:rsidR="00FD5C20" w:rsidRPr="00821042">
        <w:rPr>
          <w:rFonts w:cs="Arial"/>
        </w:rPr>
        <w:t xml:space="preserve">i rozłożonych na raty </w:t>
      </w:r>
      <w:r w:rsidR="00747B2D" w:rsidRPr="00821042">
        <w:rPr>
          <w:rFonts w:cs="Arial"/>
        </w:rPr>
        <w:t>zobowiązań.</w:t>
      </w:r>
      <w:r w:rsidR="00FD5C20" w:rsidRPr="00821042">
        <w:rPr>
          <w:rFonts w:cs="Arial"/>
        </w:rPr>
        <w:t xml:space="preserve"> </w:t>
      </w:r>
      <w:r w:rsidR="008A1737" w:rsidRPr="00821042">
        <w:rPr>
          <w:rFonts w:cs="Arial"/>
        </w:rPr>
        <w:t xml:space="preserve">Kwoty przejętych zobowiązań </w:t>
      </w:r>
      <w:r w:rsidR="00D67D00" w:rsidRPr="00821042">
        <w:rPr>
          <w:rFonts w:cs="Arial"/>
        </w:rPr>
        <w:t xml:space="preserve">wykazano również  </w:t>
      </w:r>
      <w:r w:rsidR="008A1737" w:rsidRPr="00821042">
        <w:rPr>
          <w:rFonts w:cs="Arial"/>
        </w:rPr>
        <w:t xml:space="preserve">w </w:t>
      </w:r>
      <w:r w:rsidR="006E7860" w:rsidRPr="00821042">
        <w:rPr>
          <w:rFonts w:cs="Arial"/>
        </w:rPr>
        <w:t>kolumnach</w:t>
      </w:r>
      <w:r w:rsidR="00182BFE" w:rsidRPr="00821042">
        <w:rPr>
          <w:rFonts w:cs="Arial"/>
        </w:rPr>
        <w:t xml:space="preserve"> 13.1 oraz 13.</w:t>
      </w:r>
      <w:r w:rsidR="00854FB7" w:rsidRPr="00821042">
        <w:rPr>
          <w:rFonts w:cs="Arial"/>
        </w:rPr>
        <w:t>4</w:t>
      </w:r>
      <w:r w:rsidR="00182BFE" w:rsidRPr="00821042">
        <w:rPr>
          <w:rFonts w:cs="Arial"/>
        </w:rPr>
        <w:t>, przy czym kwot</w:t>
      </w:r>
      <w:r w:rsidR="008A1737" w:rsidRPr="00821042">
        <w:rPr>
          <w:rFonts w:cs="Arial"/>
        </w:rPr>
        <w:t xml:space="preserve">a z </w:t>
      </w:r>
      <w:r w:rsidR="000E08DD" w:rsidRPr="00821042">
        <w:rPr>
          <w:rFonts w:cs="Arial"/>
        </w:rPr>
        <w:t>kolumny</w:t>
      </w:r>
      <w:r w:rsidR="006864D9" w:rsidRPr="00821042">
        <w:rPr>
          <w:rFonts w:cs="Arial"/>
        </w:rPr>
        <w:t xml:space="preserve"> </w:t>
      </w:r>
      <w:r w:rsidR="008A1737" w:rsidRPr="00821042">
        <w:rPr>
          <w:rFonts w:cs="Arial"/>
        </w:rPr>
        <w:t xml:space="preserve">13.1 to stan zobowiązań na początek </w:t>
      </w:r>
      <w:r w:rsidR="00182BFE" w:rsidRPr="00821042">
        <w:rPr>
          <w:rFonts w:cs="Arial"/>
        </w:rPr>
        <w:t>roku, a kwota</w:t>
      </w:r>
      <w:r w:rsidR="006864D9" w:rsidRPr="00821042">
        <w:rPr>
          <w:rFonts w:cs="Arial"/>
        </w:rPr>
        <w:t xml:space="preserve"> z </w:t>
      </w:r>
      <w:r w:rsidR="000E08DD" w:rsidRPr="00821042">
        <w:rPr>
          <w:rFonts w:cs="Arial"/>
        </w:rPr>
        <w:t>kolumny</w:t>
      </w:r>
      <w:r w:rsidR="00182BFE" w:rsidRPr="00821042">
        <w:rPr>
          <w:rFonts w:cs="Arial"/>
        </w:rPr>
        <w:t xml:space="preserve"> 13.</w:t>
      </w:r>
      <w:r w:rsidR="00854FB7" w:rsidRPr="00821042">
        <w:rPr>
          <w:rFonts w:cs="Arial"/>
        </w:rPr>
        <w:t>4</w:t>
      </w:r>
      <w:r w:rsidR="00D25AF2" w:rsidRPr="00821042">
        <w:rPr>
          <w:rFonts w:cs="Arial"/>
        </w:rPr>
        <w:t xml:space="preserve"> to</w:t>
      </w:r>
      <w:r w:rsidR="00182BFE" w:rsidRPr="00821042">
        <w:rPr>
          <w:rFonts w:cs="Arial"/>
        </w:rPr>
        <w:t xml:space="preserve"> planowana </w:t>
      </w:r>
      <w:r w:rsidR="008A1737" w:rsidRPr="00821042">
        <w:rPr>
          <w:rFonts w:cs="Arial"/>
        </w:rPr>
        <w:t>na dany rok</w:t>
      </w:r>
      <w:r w:rsidR="00182BFE" w:rsidRPr="00821042">
        <w:rPr>
          <w:rFonts w:cs="Arial"/>
        </w:rPr>
        <w:t xml:space="preserve"> spłata</w:t>
      </w:r>
      <w:r w:rsidR="008A1737" w:rsidRPr="00821042">
        <w:rPr>
          <w:rFonts w:cs="Arial"/>
        </w:rPr>
        <w:t>.</w:t>
      </w:r>
    </w:p>
    <w:p w:rsidR="003B416C" w:rsidRPr="00821042" w:rsidRDefault="00252B35" w:rsidP="00ED7CEE">
      <w:pPr>
        <w:rPr>
          <w:rFonts w:cs="Arial"/>
        </w:rPr>
      </w:pPr>
      <w:r w:rsidRPr="00821042">
        <w:rPr>
          <w:rFonts w:cs="Arial"/>
          <w:b/>
        </w:rPr>
        <w:t>Tabela.</w:t>
      </w:r>
      <w:r w:rsidRPr="00821042">
        <w:rPr>
          <w:rFonts w:cs="Arial"/>
        </w:rPr>
        <w:t xml:space="preserve"> Kwoty spłat zobowiązań przejętych od przekształconego w spółkę zakładu opiek</w:t>
      </w:r>
      <w:r w:rsidR="003B416C" w:rsidRPr="00821042">
        <w:rPr>
          <w:rFonts w:cs="Arial"/>
        </w:rPr>
        <w:t>i zdrowotnej w rozbiciu na lata</w:t>
      </w:r>
    </w:p>
    <w:p w:rsidR="003B416C" w:rsidRPr="00821042" w:rsidRDefault="003B416C" w:rsidP="00ED7CEE">
      <w:pPr>
        <w:rPr>
          <w:rFonts w:cs="Arial"/>
          <w:sz w:val="24"/>
          <w:szCs w:val="24"/>
        </w:rPr>
      </w:pPr>
    </w:p>
    <w:tbl>
      <w:tblPr>
        <w:tblW w:w="10632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850"/>
        <w:gridCol w:w="992"/>
        <w:gridCol w:w="993"/>
        <w:gridCol w:w="992"/>
        <w:gridCol w:w="850"/>
        <w:gridCol w:w="851"/>
        <w:gridCol w:w="850"/>
        <w:gridCol w:w="851"/>
        <w:gridCol w:w="850"/>
      </w:tblGrid>
      <w:tr w:rsidR="001C19CD" w:rsidRPr="00821042" w:rsidTr="001C19CD">
        <w:trPr>
          <w:trHeight w:val="91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Arial"/>
                <w:b/>
                <w:bCs/>
                <w:color w:val="000000"/>
                <w:sz w:val="14"/>
                <w:szCs w:val="14"/>
              </w:rPr>
              <w:t>Pokrycie przejętych zobowiązań od ZOZ przekształconego w spółkę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RAZEM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2024</w:t>
            </w:r>
          </w:p>
        </w:tc>
      </w:tr>
      <w:tr w:rsidR="001C19CD" w:rsidRPr="00821042" w:rsidTr="001C19CD">
        <w:trPr>
          <w:trHeight w:val="844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Umowa przejęcia długu SP ZOZ zawarta z </w:t>
            </w:r>
            <w:proofErr w:type="spellStart"/>
            <w:r w:rsidRPr="001C19CD">
              <w:rPr>
                <w:rFonts w:cs="Calibri"/>
                <w:color w:val="000000"/>
                <w:sz w:val="14"/>
                <w:szCs w:val="14"/>
              </w:rPr>
              <w:t>Nordea</w:t>
            </w:r>
            <w:proofErr w:type="spellEnd"/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 Bank Polska S.A (PKO BP)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6 350 378,74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157 293,59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893 054,06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871 417,70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849 781,31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828 391,91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806 508,55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784 872,14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763 235,74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C767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395 823,74</w:t>
            </w:r>
            <w:r w:rsidR="00303D9E" w:rsidRPr="001C19CD">
              <w:rPr>
                <w:rFonts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1C19CD" w:rsidRPr="00821042" w:rsidTr="001C19CD">
        <w:trPr>
          <w:trHeight w:val="828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>ZOZ zawarta z Bankiem Spółdzielczym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2 653 298,49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130 420,04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1 093 148,13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1 021 367,44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408 362,88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0,00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color w:val="000000"/>
                <w:sz w:val="14"/>
                <w:szCs w:val="14"/>
              </w:rPr>
              <w:t xml:space="preserve">0,00 </w:t>
            </w:r>
          </w:p>
        </w:tc>
      </w:tr>
      <w:tr w:rsidR="001C19CD" w:rsidRPr="00821042" w:rsidTr="001C19CD">
        <w:trPr>
          <w:trHeight w:val="273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1C19CD" w:rsidRPr="00821042" w:rsidTr="001C19CD">
        <w:trPr>
          <w:trHeight w:val="638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>SUMA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u w:val="single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  <w:u w:val="single"/>
              </w:rPr>
              <w:t xml:space="preserve">9 003 677,23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287 713,63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1 986 202,19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1 892 785,14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1 258 144,19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828 391,91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806 508,55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784 872,14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303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763 235,74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9CD" w:rsidRPr="001C19CD" w:rsidRDefault="001C1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  <w:p w:rsidR="00303D9E" w:rsidRPr="001C19CD" w:rsidRDefault="00C76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395 823,74</w:t>
            </w:r>
            <w:r w:rsidR="00303D9E" w:rsidRPr="001C19CD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</w:tbl>
    <w:p w:rsidR="00757ED7" w:rsidRPr="00821042" w:rsidRDefault="00757ED7" w:rsidP="009E1B6D">
      <w:pPr>
        <w:spacing w:before="120" w:after="120" w:line="360" w:lineRule="auto"/>
        <w:jc w:val="both"/>
        <w:rPr>
          <w:rFonts w:cs="Times New Roman"/>
          <w:sz w:val="24"/>
          <w:szCs w:val="24"/>
        </w:rPr>
      </w:pPr>
    </w:p>
    <w:p w:rsidR="002C0AF5" w:rsidRPr="00821042" w:rsidRDefault="005121CC" w:rsidP="009E1B6D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Times New Roman"/>
          <w:sz w:val="24"/>
          <w:szCs w:val="24"/>
        </w:rPr>
        <w:tab/>
      </w:r>
      <w:r w:rsidR="008978B6" w:rsidRPr="00821042">
        <w:rPr>
          <w:rFonts w:cs="Arial"/>
        </w:rPr>
        <w:t xml:space="preserve">Plan wydatków majątkowych </w:t>
      </w:r>
      <w:r w:rsidR="0059644E" w:rsidRPr="00821042">
        <w:rPr>
          <w:rFonts w:cs="Arial"/>
        </w:rPr>
        <w:t>na</w:t>
      </w:r>
      <w:r w:rsidR="008978B6" w:rsidRPr="00821042">
        <w:rPr>
          <w:rFonts w:cs="Arial"/>
        </w:rPr>
        <w:t xml:space="preserve"> rok </w:t>
      </w:r>
      <w:r w:rsidR="00750038" w:rsidRPr="00821042">
        <w:rPr>
          <w:rFonts w:cs="Arial"/>
        </w:rPr>
        <w:t>2016</w:t>
      </w:r>
      <w:r w:rsidR="00BC56AF" w:rsidRPr="00821042">
        <w:rPr>
          <w:rFonts w:cs="Arial"/>
        </w:rPr>
        <w:t xml:space="preserve"> </w:t>
      </w:r>
      <w:r w:rsidR="008978B6" w:rsidRPr="00821042">
        <w:rPr>
          <w:rFonts w:cs="Arial"/>
        </w:rPr>
        <w:t xml:space="preserve">określono na poziomie, </w:t>
      </w:r>
      <w:r w:rsidR="0059644E" w:rsidRPr="00821042">
        <w:rPr>
          <w:rFonts w:cs="Arial"/>
        </w:rPr>
        <w:t>zapewniającym kontynuowanie</w:t>
      </w:r>
      <w:r w:rsidR="00ED6C5E" w:rsidRPr="00821042">
        <w:rPr>
          <w:rFonts w:cs="Arial"/>
        </w:rPr>
        <w:t xml:space="preserve"> inwestycji, w tym </w:t>
      </w:r>
      <w:r w:rsidR="008978B6" w:rsidRPr="00821042">
        <w:rPr>
          <w:rFonts w:cs="Arial"/>
        </w:rPr>
        <w:t xml:space="preserve">realizowanych z udziałem środków z Unii Europejskiej. </w:t>
      </w:r>
      <w:r w:rsidR="00ED6C5E" w:rsidRPr="00821042">
        <w:rPr>
          <w:rFonts w:cs="Arial"/>
        </w:rPr>
        <w:t xml:space="preserve">Przedsięwzięcia wieloletnie </w:t>
      </w:r>
      <w:r w:rsidR="000445E2" w:rsidRPr="00821042">
        <w:rPr>
          <w:rFonts w:cs="Arial"/>
        </w:rPr>
        <w:t xml:space="preserve">majątkowe </w:t>
      </w:r>
      <w:r w:rsidR="00ED6C5E" w:rsidRPr="00821042">
        <w:rPr>
          <w:rFonts w:cs="Arial"/>
        </w:rPr>
        <w:t xml:space="preserve">na dzień dzisiejszy obejmują okres do </w:t>
      </w:r>
      <w:r w:rsidR="00821042" w:rsidRPr="00821042">
        <w:rPr>
          <w:rFonts w:cs="Arial"/>
        </w:rPr>
        <w:t>2021</w:t>
      </w:r>
      <w:r w:rsidR="00ED6C5E" w:rsidRPr="00821042">
        <w:rPr>
          <w:rFonts w:cs="Arial"/>
        </w:rPr>
        <w:t xml:space="preserve"> roku</w:t>
      </w:r>
      <w:r w:rsidR="00657684" w:rsidRPr="00821042">
        <w:rPr>
          <w:rFonts w:cs="Arial"/>
        </w:rPr>
        <w:t>.</w:t>
      </w:r>
    </w:p>
    <w:p w:rsidR="00821042" w:rsidRPr="00821042" w:rsidRDefault="00F73A1A" w:rsidP="009E1B6D">
      <w:pPr>
        <w:spacing w:before="120" w:after="120" w:line="360" w:lineRule="auto"/>
        <w:ind w:firstLine="708"/>
        <w:jc w:val="both"/>
        <w:rPr>
          <w:rFonts w:cs="Arial"/>
          <w:bCs/>
          <w:color w:val="FF0000"/>
        </w:rPr>
      </w:pPr>
      <w:r w:rsidRPr="00821042">
        <w:rPr>
          <w:rFonts w:cs="Arial"/>
          <w:bCs/>
        </w:rPr>
        <w:t>Sp</w:t>
      </w:r>
      <w:r w:rsidR="006503BB" w:rsidRPr="00821042">
        <w:rPr>
          <w:rFonts w:cs="Arial"/>
          <w:bCs/>
        </w:rPr>
        <w:t>łaty rat kapitałowych kredytów,</w:t>
      </w:r>
      <w:r w:rsidRPr="00821042">
        <w:rPr>
          <w:rFonts w:cs="Arial"/>
          <w:bCs/>
        </w:rPr>
        <w:t xml:space="preserve"> pożyczek</w:t>
      </w:r>
      <w:r w:rsidR="006503BB" w:rsidRPr="00821042">
        <w:rPr>
          <w:rFonts w:cs="Arial"/>
          <w:bCs/>
        </w:rPr>
        <w:t>, wykupu obligacji</w:t>
      </w:r>
      <w:r w:rsidRPr="00821042">
        <w:rPr>
          <w:rFonts w:cs="Arial"/>
          <w:bCs/>
        </w:rPr>
        <w:t xml:space="preserve"> planowane </w:t>
      </w:r>
      <w:r w:rsidR="006503BB" w:rsidRPr="00821042">
        <w:rPr>
          <w:rFonts w:cs="Arial"/>
          <w:bCs/>
        </w:rPr>
        <w:br/>
      </w:r>
      <w:r w:rsidRPr="00821042">
        <w:rPr>
          <w:rFonts w:cs="Arial"/>
          <w:bCs/>
        </w:rPr>
        <w:t xml:space="preserve">w poszczególnych latach </w:t>
      </w:r>
      <w:r w:rsidR="00BC56AF" w:rsidRPr="00821042">
        <w:rPr>
          <w:rFonts w:cs="Arial"/>
          <w:bCs/>
        </w:rPr>
        <w:t xml:space="preserve">- </w:t>
      </w:r>
      <w:r w:rsidRPr="00821042">
        <w:rPr>
          <w:rFonts w:cs="Arial"/>
          <w:bCs/>
        </w:rPr>
        <w:t>rozchody budżetu (</w:t>
      </w:r>
      <w:r w:rsidR="00BC56AF" w:rsidRPr="00821042">
        <w:rPr>
          <w:rFonts w:cs="Arial"/>
          <w:bCs/>
        </w:rPr>
        <w:t>kolumna</w:t>
      </w:r>
      <w:r w:rsidRPr="00821042">
        <w:rPr>
          <w:rFonts w:cs="Arial"/>
          <w:bCs/>
        </w:rPr>
        <w:t xml:space="preserve"> 5) są zgodne z zawartymi</w:t>
      </w:r>
      <w:r w:rsidR="000445E2" w:rsidRPr="00821042">
        <w:rPr>
          <w:rFonts w:cs="Arial"/>
          <w:bCs/>
        </w:rPr>
        <w:t xml:space="preserve">, bądź planowanymi do zawarcia umowami. </w:t>
      </w:r>
    </w:p>
    <w:p w:rsidR="002C0AF5" w:rsidRPr="00821042" w:rsidRDefault="00AD6E00" w:rsidP="009E1B6D">
      <w:pPr>
        <w:spacing w:before="120" w:after="120" w:line="360" w:lineRule="auto"/>
        <w:ind w:firstLine="708"/>
        <w:jc w:val="both"/>
        <w:rPr>
          <w:rFonts w:cs="Arial"/>
        </w:rPr>
      </w:pPr>
      <w:r w:rsidRPr="00821042">
        <w:rPr>
          <w:rFonts w:cs="Arial"/>
        </w:rPr>
        <w:t>Kwotę długu na koniec każdego roku objętego prognozą (</w:t>
      </w:r>
      <w:r w:rsidR="006503BB" w:rsidRPr="00821042">
        <w:rPr>
          <w:rFonts w:cs="Arial"/>
        </w:rPr>
        <w:t xml:space="preserve">kolumna </w:t>
      </w:r>
      <w:r w:rsidRPr="00821042">
        <w:rPr>
          <w:rFonts w:cs="Arial"/>
        </w:rPr>
        <w:t xml:space="preserve">6) </w:t>
      </w:r>
      <w:r w:rsidR="008A1737" w:rsidRPr="00821042">
        <w:rPr>
          <w:rFonts w:cs="Arial"/>
        </w:rPr>
        <w:t>wyliczono dodając do zadłużenia na koniec poprzedniego roku planowane na dany rok przychody</w:t>
      </w:r>
      <w:r w:rsidR="005C7BD6" w:rsidRPr="00821042">
        <w:rPr>
          <w:rFonts w:cs="Arial"/>
        </w:rPr>
        <w:t xml:space="preserve"> </w:t>
      </w:r>
      <w:r w:rsidR="008A1737" w:rsidRPr="00821042">
        <w:rPr>
          <w:rFonts w:cs="Arial"/>
        </w:rPr>
        <w:t xml:space="preserve"> i odejmując rozchody. </w:t>
      </w:r>
    </w:p>
    <w:p w:rsidR="002C0AF5" w:rsidRPr="00821042" w:rsidRDefault="002C0AF5" w:rsidP="009E1B6D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</w:r>
      <w:r w:rsidR="00750038" w:rsidRPr="00821042">
        <w:rPr>
          <w:rFonts w:cs="Arial"/>
        </w:rPr>
        <w:t>W roku 2016</w:t>
      </w:r>
      <w:r w:rsidR="00A657CD" w:rsidRPr="00821042">
        <w:rPr>
          <w:rFonts w:cs="Arial"/>
        </w:rPr>
        <w:t xml:space="preserve"> oraz kolejnych latach </w:t>
      </w:r>
      <w:r w:rsidR="006503BB" w:rsidRPr="00821042">
        <w:rPr>
          <w:rFonts w:cs="Arial"/>
        </w:rPr>
        <w:t xml:space="preserve">indywidualny </w:t>
      </w:r>
      <w:r w:rsidR="00A657CD" w:rsidRPr="00821042">
        <w:rPr>
          <w:rFonts w:cs="Arial"/>
        </w:rPr>
        <w:t>w</w:t>
      </w:r>
      <w:r w:rsidR="008978B6" w:rsidRPr="00821042">
        <w:rPr>
          <w:rFonts w:cs="Arial"/>
        </w:rPr>
        <w:t xml:space="preserve">skaźnik </w:t>
      </w:r>
      <w:r w:rsidR="006503BB" w:rsidRPr="00821042">
        <w:rPr>
          <w:rFonts w:cs="Arial"/>
        </w:rPr>
        <w:t xml:space="preserve">spłaty zobowiązań </w:t>
      </w:r>
      <w:r w:rsidR="008978B6" w:rsidRPr="00821042">
        <w:rPr>
          <w:rFonts w:cs="Arial"/>
        </w:rPr>
        <w:t xml:space="preserve">obliczony na podstawie art. 243 ustawy z dnia 27 sierpnia 2009 r. o finansach publicznych </w:t>
      </w:r>
      <w:r w:rsidRPr="00821042">
        <w:rPr>
          <w:rFonts w:cs="Arial"/>
        </w:rPr>
        <w:t>wykazuje</w:t>
      </w:r>
      <w:r w:rsidR="006503BB" w:rsidRPr="00821042">
        <w:rPr>
          <w:rFonts w:cs="Arial"/>
        </w:rPr>
        <w:t xml:space="preserve"> prawidłową wielkość (kolumny</w:t>
      </w:r>
      <w:r w:rsidR="00AA618D" w:rsidRPr="00821042">
        <w:rPr>
          <w:rFonts w:cs="Arial"/>
        </w:rPr>
        <w:t xml:space="preserve"> 9.</w:t>
      </w:r>
      <w:r w:rsidR="0082494A" w:rsidRPr="00821042">
        <w:rPr>
          <w:rFonts w:cs="Arial"/>
        </w:rPr>
        <w:t>1 – 9.7.1</w:t>
      </w:r>
      <w:r w:rsidR="00AA618D" w:rsidRPr="00821042">
        <w:rPr>
          <w:rFonts w:cs="Arial"/>
        </w:rPr>
        <w:t>)</w:t>
      </w:r>
      <w:r w:rsidR="006503BB" w:rsidRPr="00821042">
        <w:rPr>
          <w:rFonts w:cs="Arial"/>
        </w:rPr>
        <w:t>.</w:t>
      </w:r>
      <w:r w:rsidR="00AA618D" w:rsidRPr="00821042">
        <w:rPr>
          <w:rFonts w:cs="Arial"/>
        </w:rPr>
        <w:t xml:space="preserve"> </w:t>
      </w:r>
    </w:p>
    <w:p w:rsidR="009A58DD" w:rsidRPr="00821042" w:rsidRDefault="009A58DD" w:rsidP="009E1B6D">
      <w:pPr>
        <w:spacing w:before="120" w:after="120" w:line="360" w:lineRule="auto"/>
        <w:jc w:val="both"/>
        <w:rPr>
          <w:rFonts w:cs="Arial"/>
          <w:bCs/>
        </w:rPr>
      </w:pPr>
      <w:r w:rsidRPr="00821042">
        <w:rPr>
          <w:rFonts w:cs="Arial"/>
        </w:rPr>
        <w:lastRenderedPageBreak/>
        <w:t>Planowan</w:t>
      </w:r>
      <w:r w:rsidR="0059644E" w:rsidRPr="00821042">
        <w:rPr>
          <w:rFonts w:cs="Arial"/>
        </w:rPr>
        <w:t>ą</w:t>
      </w:r>
      <w:r w:rsidRPr="00821042">
        <w:rPr>
          <w:rFonts w:cs="Arial"/>
        </w:rPr>
        <w:t xml:space="preserve"> w kolejnych latach nadwyżkę budżetową (kolumna 10) przeznacza się na spłatę pożyczek, kredytów oraz wykup papier</w:t>
      </w:r>
      <w:r w:rsidR="000445E2" w:rsidRPr="00821042">
        <w:rPr>
          <w:rFonts w:cs="Arial"/>
        </w:rPr>
        <w:t>ów wartościowych (kolumna 10.1).</w:t>
      </w:r>
    </w:p>
    <w:p w:rsidR="002C0AF5" w:rsidRPr="00821042" w:rsidRDefault="008978B6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Times New Roman"/>
        </w:rPr>
        <w:tab/>
      </w:r>
      <w:r w:rsidR="006F6CEC" w:rsidRPr="00821042">
        <w:rPr>
          <w:rFonts w:cs="Arial"/>
        </w:rPr>
        <w:t xml:space="preserve">W ramach informacji uzupełniających ujęto </w:t>
      </w:r>
      <w:r w:rsidR="00C42C2E" w:rsidRPr="00821042">
        <w:rPr>
          <w:rFonts w:cs="Arial"/>
        </w:rPr>
        <w:t xml:space="preserve">kwoty </w:t>
      </w:r>
      <w:r w:rsidR="006F6CEC" w:rsidRPr="00821042">
        <w:rPr>
          <w:rFonts w:cs="Arial"/>
        </w:rPr>
        <w:t xml:space="preserve">planowane </w:t>
      </w:r>
      <w:r w:rsidR="0059644E" w:rsidRPr="00821042">
        <w:rPr>
          <w:rFonts w:cs="Arial"/>
        </w:rPr>
        <w:br/>
      </w:r>
      <w:r w:rsidR="00C42C2E" w:rsidRPr="00821042">
        <w:rPr>
          <w:rFonts w:cs="Arial"/>
        </w:rPr>
        <w:t xml:space="preserve">na wynagrodzenia i składki od nich naliczane, wydatki związane z funkcjonowaniem organów </w:t>
      </w:r>
      <w:proofErr w:type="spellStart"/>
      <w:r w:rsidR="00C42C2E" w:rsidRPr="00821042">
        <w:rPr>
          <w:rFonts w:cs="Arial"/>
        </w:rPr>
        <w:t>jst</w:t>
      </w:r>
      <w:proofErr w:type="spellEnd"/>
      <w:r w:rsidR="003E7C51" w:rsidRPr="00821042">
        <w:rPr>
          <w:rFonts w:cs="Arial"/>
        </w:rPr>
        <w:t xml:space="preserve"> (kolumny 11.1, 11.2)</w:t>
      </w:r>
      <w:r w:rsidR="000075CF" w:rsidRPr="00821042">
        <w:rPr>
          <w:rFonts w:cs="Arial"/>
        </w:rPr>
        <w:t>. D</w:t>
      </w:r>
      <w:r w:rsidR="00750038" w:rsidRPr="00821042">
        <w:rPr>
          <w:rFonts w:cs="Arial"/>
        </w:rPr>
        <w:t>ane dotyczące roku 2016</w:t>
      </w:r>
      <w:r w:rsidR="003E7C51" w:rsidRPr="00821042">
        <w:rPr>
          <w:rFonts w:cs="Arial"/>
        </w:rPr>
        <w:t xml:space="preserve"> są zgodne z budżetem, natomiast </w:t>
      </w:r>
      <w:r w:rsidR="005C7BD6" w:rsidRPr="00821042">
        <w:rPr>
          <w:rFonts w:cs="Arial"/>
        </w:rPr>
        <w:t xml:space="preserve"> </w:t>
      </w:r>
      <w:r w:rsidR="003E7C51" w:rsidRPr="00821042">
        <w:rPr>
          <w:rFonts w:cs="Arial"/>
        </w:rPr>
        <w:t xml:space="preserve">w kolejnych latach </w:t>
      </w:r>
      <w:r w:rsidR="0089031C">
        <w:rPr>
          <w:rFonts w:cs="Arial"/>
        </w:rPr>
        <w:t xml:space="preserve">2017-2019 </w:t>
      </w:r>
      <w:r w:rsidR="003E7C51" w:rsidRPr="00821042">
        <w:rPr>
          <w:rFonts w:cs="Arial"/>
        </w:rPr>
        <w:t>wzrastają ok. 2% w stosunku do roku poprzedniego. W</w:t>
      </w:r>
      <w:r w:rsidR="00C42C2E" w:rsidRPr="00821042">
        <w:rPr>
          <w:rFonts w:cs="Arial"/>
        </w:rPr>
        <w:t xml:space="preserve">ydatki na przedsięwzięcia majątkowe i bieżące </w:t>
      </w:r>
      <w:r w:rsidR="003E7C51" w:rsidRPr="00821042">
        <w:rPr>
          <w:rFonts w:cs="Arial"/>
        </w:rPr>
        <w:t xml:space="preserve">są </w:t>
      </w:r>
      <w:r w:rsidR="00C42C2E" w:rsidRPr="00821042">
        <w:rPr>
          <w:rFonts w:cs="Arial"/>
        </w:rPr>
        <w:t>zgodne z wykazem pr</w:t>
      </w:r>
      <w:r w:rsidR="00854FB7" w:rsidRPr="00821042">
        <w:rPr>
          <w:rFonts w:cs="Arial"/>
        </w:rPr>
        <w:t>zedsięwzięć</w:t>
      </w:r>
      <w:r w:rsidR="003E7C51" w:rsidRPr="00821042">
        <w:rPr>
          <w:rFonts w:cs="Arial"/>
        </w:rPr>
        <w:t xml:space="preserve"> do WPF (kolumna 11.3)</w:t>
      </w:r>
      <w:r w:rsidR="00C42C2E" w:rsidRPr="00821042">
        <w:rPr>
          <w:rFonts w:cs="Arial"/>
        </w:rPr>
        <w:t>.</w:t>
      </w:r>
      <w:r w:rsidR="003E7C51" w:rsidRPr="00821042">
        <w:rPr>
          <w:rFonts w:cs="Arial"/>
        </w:rPr>
        <w:t xml:space="preserve"> </w:t>
      </w:r>
      <w:r w:rsidR="0099687B" w:rsidRPr="00821042">
        <w:rPr>
          <w:rFonts w:cs="Arial"/>
        </w:rPr>
        <w:t>W kwot</w:t>
      </w:r>
      <w:r w:rsidR="000445E2" w:rsidRPr="00821042">
        <w:rPr>
          <w:rFonts w:cs="Arial"/>
        </w:rPr>
        <w:t>ach</w:t>
      </w:r>
      <w:r w:rsidR="0099687B" w:rsidRPr="00821042">
        <w:rPr>
          <w:rFonts w:cs="Arial"/>
        </w:rPr>
        <w:t xml:space="preserve"> wydatków</w:t>
      </w:r>
      <w:r w:rsidR="003E7C51" w:rsidRPr="00821042">
        <w:rPr>
          <w:rFonts w:cs="Arial"/>
        </w:rPr>
        <w:t xml:space="preserve"> </w:t>
      </w:r>
      <w:r w:rsidR="00C42C2E" w:rsidRPr="00821042">
        <w:rPr>
          <w:rFonts w:cs="Arial"/>
        </w:rPr>
        <w:t>planowan</w:t>
      </w:r>
      <w:r w:rsidR="0099687B" w:rsidRPr="00821042">
        <w:rPr>
          <w:rFonts w:cs="Arial"/>
        </w:rPr>
        <w:t>ych</w:t>
      </w:r>
      <w:r w:rsidR="00C42C2E" w:rsidRPr="00821042">
        <w:rPr>
          <w:rFonts w:cs="Arial"/>
        </w:rPr>
        <w:t xml:space="preserve"> na inwestycje kontynuowane oraz nowe</w:t>
      </w:r>
      <w:r w:rsidR="0099687B" w:rsidRPr="00821042">
        <w:rPr>
          <w:rFonts w:cs="Arial"/>
        </w:rPr>
        <w:t xml:space="preserve"> inwestycje</w:t>
      </w:r>
      <w:r w:rsidR="00C42C2E" w:rsidRPr="00821042">
        <w:rPr>
          <w:rFonts w:cs="Arial"/>
        </w:rPr>
        <w:t xml:space="preserve"> </w:t>
      </w:r>
      <w:r w:rsidR="000445E2" w:rsidRPr="00821042">
        <w:rPr>
          <w:rFonts w:cs="Arial"/>
        </w:rPr>
        <w:t>(kolumna 11.4, 11.5, 11.6) nie ujęto</w:t>
      </w:r>
      <w:r w:rsidR="00C42C2E" w:rsidRPr="00821042">
        <w:rPr>
          <w:rFonts w:cs="Arial"/>
        </w:rPr>
        <w:t xml:space="preserve"> </w:t>
      </w:r>
      <w:r w:rsidR="0099687B" w:rsidRPr="00821042">
        <w:rPr>
          <w:rFonts w:cs="Arial"/>
        </w:rPr>
        <w:t xml:space="preserve">kwot </w:t>
      </w:r>
      <w:r w:rsidR="00C42C2E" w:rsidRPr="00821042">
        <w:rPr>
          <w:rFonts w:cs="Arial"/>
        </w:rPr>
        <w:t>wydatków na wniesienie wkł</w:t>
      </w:r>
      <w:r w:rsidR="000445E2" w:rsidRPr="00821042">
        <w:rPr>
          <w:rFonts w:cs="Arial"/>
        </w:rPr>
        <w:t>adów do spółek prawa handlowego. J</w:t>
      </w:r>
      <w:r w:rsidR="00C42C2E" w:rsidRPr="00821042">
        <w:rPr>
          <w:rFonts w:cs="Arial"/>
        </w:rPr>
        <w:t xml:space="preserve">ako </w:t>
      </w:r>
      <w:r w:rsidR="00EE7DD3" w:rsidRPr="00821042">
        <w:rPr>
          <w:rFonts w:cs="Arial"/>
        </w:rPr>
        <w:t xml:space="preserve">inwestycje </w:t>
      </w:r>
      <w:r w:rsidR="0099687B" w:rsidRPr="00821042">
        <w:rPr>
          <w:rFonts w:cs="Arial"/>
        </w:rPr>
        <w:t xml:space="preserve">kontynuowane </w:t>
      </w:r>
      <w:r w:rsidR="0082494A" w:rsidRPr="00821042">
        <w:rPr>
          <w:rFonts w:cs="Arial"/>
        </w:rPr>
        <w:t>wskaz</w:t>
      </w:r>
      <w:r w:rsidR="00C42C2E" w:rsidRPr="00821042">
        <w:rPr>
          <w:rFonts w:cs="Arial"/>
        </w:rPr>
        <w:t>ano wszystkie</w:t>
      </w:r>
      <w:r w:rsidR="0082494A" w:rsidRPr="00821042">
        <w:rPr>
          <w:rFonts w:cs="Arial"/>
        </w:rPr>
        <w:t xml:space="preserve"> planowane wydatki inwestycyjne</w:t>
      </w:r>
      <w:r w:rsidR="00C42C2E" w:rsidRPr="00821042">
        <w:rPr>
          <w:rFonts w:cs="Arial"/>
        </w:rPr>
        <w:t xml:space="preserve"> </w:t>
      </w:r>
      <w:r w:rsidR="000445E2" w:rsidRPr="00821042">
        <w:rPr>
          <w:rFonts w:cs="Arial"/>
        </w:rPr>
        <w:t xml:space="preserve">na zadania, </w:t>
      </w:r>
      <w:r w:rsidR="00C42C2E" w:rsidRPr="00821042">
        <w:rPr>
          <w:rFonts w:cs="Arial"/>
        </w:rPr>
        <w:t>któr</w:t>
      </w:r>
      <w:r w:rsidR="000445E2" w:rsidRPr="00821042">
        <w:rPr>
          <w:rFonts w:cs="Arial"/>
        </w:rPr>
        <w:t>e rozpoczęto,</w:t>
      </w:r>
      <w:r w:rsidR="00C42C2E" w:rsidRPr="00821042">
        <w:rPr>
          <w:rFonts w:cs="Arial"/>
        </w:rPr>
        <w:t xml:space="preserve"> </w:t>
      </w:r>
      <w:r w:rsidR="000445E2" w:rsidRPr="00821042">
        <w:rPr>
          <w:rFonts w:cs="Arial"/>
        </w:rPr>
        <w:t xml:space="preserve">bądź dla których wykonano, co najmniej w roku poprzednim, </w:t>
      </w:r>
      <w:r w:rsidR="0082494A" w:rsidRPr="00821042">
        <w:rPr>
          <w:rFonts w:cs="Arial"/>
        </w:rPr>
        <w:t>dokumentację techniczną</w:t>
      </w:r>
      <w:r w:rsidR="00C42C2E" w:rsidRPr="00821042">
        <w:rPr>
          <w:rFonts w:cs="Arial"/>
        </w:rPr>
        <w:t>.</w:t>
      </w:r>
    </w:p>
    <w:p w:rsidR="00EE7DD3" w:rsidRPr="00821042" w:rsidRDefault="00EE7DD3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ab/>
        <w:t xml:space="preserve">Kwoty dochodów i wydatków na programy finansowane z udziałem środków, </w:t>
      </w:r>
      <w:r w:rsidRPr="00821042">
        <w:rPr>
          <w:rFonts w:cs="Arial"/>
        </w:rPr>
        <w:br/>
        <w:t>o których mowa w art. 5 ust. 1 pkt 2 i 3 ustawy o finansach publicznych (wiersze 12.1-12.</w:t>
      </w:r>
      <w:r w:rsidR="0082494A" w:rsidRPr="00821042">
        <w:rPr>
          <w:rFonts w:cs="Arial"/>
        </w:rPr>
        <w:t>8</w:t>
      </w:r>
      <w:r w:rsidRPr="00821042">
        <w:rPr>
          <w:rFonts w:cs="Arial"/>
        </w:rPr>
        <w:t>.</w:t>
      </w:r>
      <w:r w:rsidR="0082494A" w:rsidRPr="00821042">
        <w:rPr>
          <w:rFonts w:cs="Arial"/>
        </w:rPr>
        <w:t>1</w:t>
      </w:r>
      <w:r w:rsidRPr="00821042">
        <w:rPr>
          <w:rFonts w:cs="Arial"/>
        </w:rPr>
        <w:t>) wykazano z uwzględnieniem źródeł finansowania – krajowych bądź środków UE.</w:t>
      </w:r>
    </w:p>
    <w:p w:rsidR="008978B6" w:rsidRPr="00821042" w:rsidRDefault="008978B6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 xml:space="preserve">Przyjęte </w:t>
      </w:r>
      <w:r w:rsidR="00EB2FFD" w:rsidRPr="00821042">
        <w:rPr>
          <w:rFonts w:cs="Arial"/>
        </w:rPr>
        <w:t>w wieloletniej prognozie finansowej na 201</w:t>
      </w:r>
      <w:r w:rsidR="00750038" w:rsidRPr="00821042">
        <w:rPr>
          <w:rFonts w:cs="Arial"/>
        </w:rPr>
        <w:t>6</w:t>
      </w:r>
      <w:r w:rsidR="00EB2FFD" w:rsidRPr="00821042">
        <w:rPr>
          <w:rFonts w:cs="Arial"/>
        </w:rPr>
        <w:t xml:space="preserve"> rok </w:t>
      </w:r>
      <w:r w:rsidRPr="00821042">
        <w:rPr>
          <w:rFonts w:cs="Arial"/>
        </w:rPr>
        <w:t xml:space="preserve">wielkości </w:t>
      </w:r>
      <w:r w:rsidR="00EB2FFD" w:rsidRPr="00821042">
        <w:rPr>
          <w:rFonts w:cs="Arial"/>
        </w:rPr>
        <w:t xml:space="preserve">są zgodne z projektem uchwały budżetowej i </w:t>
      </w:r>
      <w:r w:rsidRPr="00821042">
        <w:rPr>
          <w:rFonts w:cs="Arial"/>
        </w:rPr>
        <w:t>wynoszą odpowiednio:</w:t>
      </w:r>
    </w:p>
    <w:p w:rsidR="005C7BD6" w:rsidRPr="00821042" w:rsidRDefault="008978B6" w:rsidP="005C7BD6">
      <w:pPr>
        <w:pStyle w:val="Tekstpodstawowy2"/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Plan dochodów budżetu jednostki samorządu terytorialnego w wysokości  </w:t>
      </w:r>
      <w:r w:rsidR="005C7BD6" w:rsidRPr="00821042">
        <w:rPr>
          <w:rFonts w:asciiTheme="minorHAnsi" w:hAnsiTheme="minorHAnsi"/>
          <w:b/>
          <w:sz w:val="22"/>
          <w:szCs w:val="22"/>
        </w:rPr>
        <w:t>184.764.648,</w:t>
      </w:r>
      <w:r w:rsidR="002747BA" w:rsidRPr="00821042">
        <w:rPr>
          <w:rFonts w:asciiTheme="minorHAnsi" w:hAnsiTheme="minorHAnsi"/>
          <w:b/>
          <w:sz w:val="22"/>
          <w:szCs w:val="22"/>
        </w:rPr>
        <w:t>00 zł</w:t>
      </w:r>
      <w:r w:rsidR="00E6387D">
        <w:rPr>
          <w:rFonts w:asciiTheme="minorHAnsi" w:hAnsiTheme="minorHAnsi"/>
          <w:b/>
          <w:sz w:val="22"/>
          <w:szCs w:val="22"/>
        </w:rPr>
        <w:t>,</w:t>
      </w:r>
      <w:r w:rsidRPr="00821042">
        <w:rPr>
          <w:rFonts w:asciiTheme="minorHAnsi" w:hAnsiTheme="minorHAnsi"/>
          <w:sz w:val="22"/>
          <w:szCs w:val="22"/>
        </w:rPr>
        <w:t xml:space="preserve"> </w:t>
      </w:r>
      <w:r w:rsidR="00E6387D">
        <w:rPr>
          <w:rFonts w:asciiTheme="minorHAnsi" w:hAnsiTheme="minorHAnsi"/>
          <w:sz w:val="22"/>
          <w:szCs w:val="22"/>
        </w:rPr>
        <w:t xml:space="preserve">z </w:t>
      </w:r>
      <w:r w:rsidRPr="00821042">
        <w:rPr>
          <w:rFonts w:asciiTheme="minorHAnsi" w:hAnsiTheme="minorHAnsi"/>
          <w:sz w:val="22"/>
          <w:szCs w:val="22"/>
        </w:rPr>
        <w:t>wyodrębnieniem</w:t>
      </w:r>
      <w:r w:rsidR="005C7BD6" w:rsidRPr="00821042">
        <w:rPr>
          <w:rFonts w:asciiTheme="minorHAnsi" w:hAnsiTheme="minorHAnsi"/>
          <w:sz w:val="22"/>
          <w:szCs w:val="22"/>
        </w:rPr>
        <w:t>:</w:t>
      </w:r>
    </w:p>
    <w:p w:rsidR="005C7BD6" w:rsidRPr="00821042" w:rsidRDefault="005C7BD6" w:rsidP="005C7BD6">
      <w:pPr>
        <w:pStyle w:val="Tekstpodstawowy2"/>
        <w:spacing w:line="360" w:lineRule="auto"/>
        <w:ind w:left="714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- </w:t>
      </w:r>
      <w:r w:rsidR="008978B6" w:rsidRPr="00821042">
        <w:rPr>
          <w:rFonts w:asciiTheme="minorHAnsi" w:hAnsiTheme="minorHAnsi"/>
          <w:sz w:val="22"/>
          <w:szCs w:val="22"/>
        </w:rPr>
        <w:t xml:space="preserve"> dochodów bieżących w wysokości  </w:t>
      </w:r>
      <w:r w:rsidRPr="00821042">
        <w:rPr>
          <w:rFonts w:asciiTheme="minorHAnsi" w:hAnsiTheme="minorHAnsi"/>
          <w:sz w:val="22"/>
          <w:szCs w:val="22"/>
        </w:rPr>
        <w:t>174.455.029</w:t>
      </w:r>
      <w:r w:rsidR="002747BA" w:rsidRPr="00821042">
        <w:rPr>
          <w:rFonts w:asciiTheme="minorHAnsi" w:hAnsiTheme="minorHAnsi"/>
          <w:sz w:val="22"/>
          <w:szCs w:val="22"/>
        </w:rPr>
        <w:t xml:space="preserve">,00 </w:t>
      </w:r>
      <w:r w:rsidR="008978B6" w:rsidRPr="00821042">
        <w:rPr>
          <w:rFonts w:asciiTheme="minorHAnsi" w:hAnsiTheme="minorHAnsi"/>
          <w:sz w:val="22"/>
          <w:szCs w:val="22"/>
        </w:rPr>
        <w:t>zł</w:t>
      </w:r>
      <w:r w:rsidR="00E6387D">
        <w:rPr>
          <w:rFonts w:asciiTheme="minorHAnsi" w:hAnsiTheme="minorHAnsi"/>
          <w:sz w:val="22"/>
          <w:szCs w:val="22"/>
        </w:rPr>
        <w:t>,</w:t>
      </w:r>
    </w:p>
    <w:p w:rsidR="008978B6" w:rsidRPr="00821042" w:rsidRDefault="005C7BD6" w:rsidP="005C7BD6">
      <w:pPr>
        <w:pStyle w:val="Tekstpodstawowy2"/>
        <w:spacing w:line="360" w:lineRule="auto"/>
        <w:ind w:left="714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- </w:t>
      </w:r>
      <w:r w:rsidR="008978B6" w:rsidRPr="00821042">
        <w:rPr>
          <w:rFonts w:asciiTheme="minorHAnsi" w:hAnsiTheme="minorHAnsi"/>
          <w:sz w:val="22"/>
          <w:szCs w:val="22"/>
        </w:rPr>
        <w:t xml:space="preserve"> dochodów majątkowych w wysokości  </w:t>
      </w:r>
      <w:r w:rsidRPr="00821042">
        <w:rPr>
          <w:rFonts w:asciiTheme="minorHAnsi" w:hAnsiTheme="minorHAnsi"/>
          <w:sz w:val="22"/>
          <w:szCs w:val="22"/>
        </w:rPr>
        <w:t>10.309.619,</w:t>
      </w:r>
      <w:r w:rsidR="002747BA" w:rsidRPr="00821042">
        <w:rPr>
          <w:rFonts w:asciiTheme="minorHAnsi" w:hAnsiTheme="minorHAnsi"/>
          <w:sz w:val="22"/>
          <w:szCs w:val="22"/>
        </w:rPr>
        <w:t>00</w:t>
      </w:r>
      <w:r w:rsidRPr="00821042">
        <w:rPr>
          <w:rFonts w:asciiTheme="minorHAnsi" w:hAnsiTheme="minorHAnsi"/>
          <w:sz w:val="22"/>
          <w:szCs w:val="22"/>
        </w:rPr>
        <w:t xml:space="preserve"> zł</w:t>
      </w:r>
      <w:r w:rsidR="00E6387D">
        <w:rPr>
          <w:rFonts w:asciiTheme="minorHAnsi" w:hAnsiTheme="minorHAnsi"/>
          <w:sz w:val="22"/>
          <w:szCs w:val="22"/>
        </w:rPr>
        <w:t>,</w:t>
      </w:r>
    </w:p>
    <w:p w:rsidR="005C7BD6" w:rsidRPr="00821042" w:rsidRDefault="008978B6" w:rsidP="0059644E">
      <w:pPr>
        <w:pStyle w:val="Tekstpodstawowy2"/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Plan wydatków budżetu jednostki samorządu terytorialnego w wysokości  </w:t>
      </w:r>
      <w:r w:rsidR="005C7BD6" w:rsidRPr="00821042">
        <w:rPr>
          <w:rFonts w:asciiTheme="minorHAnsi" w:hAnsiTheme="minorHAnsi"/>
          <w:b/>
          <w:sz w:val="22"/>
          <w:szCs w:val="22"/>
        </w:rPr>
        <w:t xml:space="preserve">185.140.548,00 </w:t>
      </w:r>
      <w:r w:rsidR="00F73A1A" w:rsidRPr="00821042">
        <w:rPr>
          <w:rFonts w:asciiTheme="minorHAnsi" w:hAnsiTheme="minorHAnsi"/>
          <w:b/>
          <w:sz w:val="22"/>
          <w:szCs w:val="22"/>
        </w:rPr>
        <w:t>zł</w:t>
      </w:r>
      <w:r w:rsidR="00E6387D">
        <w:rPr>
          <w:rFonts w:asciiTheme="minorHAnsi" w:hAnsiTheme="minorHAnsi"/>
          <w:b/>
          <w:sz w:val="22"/>
          <w:szCs w:val="22"/>
        </w:rPr>
        <w:t>,</w:t>
      </w:r>
      <w:r w:rsidRPr="00821042">
        <w:rPr>
          <w:rFonts w:asciiTheme="minorHAnsi" w:hAnsiTheme="minorHAnsi"/>
          <w:b/>
          <w:sz w:val="22"/>
          <w:szCs w:val="22"/>
        </w:rPr>
        <w:t xml:space="preserve"> </w:t>
      </w:r>
      <w:r w:rsidRPr="00821042">
        <w:rPr>
          <w:rFonts w:asciiTheme="minorHAnsi" w:hAnsiTheme="minorHAnsi"/>
          <w:sz w:val="22"/>
          <w:szCs w:val="22"/>
        </w:rPr>
        <w:t>z wyodrębnieniem</w:t>
      </w:r>
      <w:r w:rsidR="005C7BD6" w:rsidRPr="00821042">
        <w:rPr>
          <w:rFonts w:asciiTheme="minorHAnsi" w:hAnsiTheme="minorHAnsi"/>
          <w:sz w:val="22"/>
          <w:szCs w:val="22"/>
        </w:rPr>
        <w:t>:</w:t>
      </w:r>
    </w:p>
    <w:p w:rsidR="005C7BD6" w:rsidRPr="00821042" w:rsidRDefault="005C7BD6" w:rsidP="005C7BD6">
      <w:pPr>
        <w:pStyle w:val="Tekstpodstawowy2"/>
        <w:spacing w:line="360" w:lineRule="auto"/>
        <w:ind w:left="714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- </w:t>
      </w:r>
      <w:r w:rsidR="008978B6" w:rsidRPr="00821042">
        <w:rPr>
          <w:rFonts w:asciiTheme="minorHAnsi" w:hAnsiTheme="minorHAnsi"/>
          <w:sz w:val="22"/>
          <w:szCs w:val="22"/>
        </w:rPr>
        <w:t xml:space="preserve"> wydatków bieżących w wysokości  </w:t>
      </w:r>
      <w:r w:rsidRPr="00821042">
        <w:rPr>
          <w:rFonts w:asciiTheme="minorHAnsi" w:hAnsiTheme="minorHAnsi"/>
          <w:sz w:val="22"/>
          <w:szCs w:val="22"/>
        </w:rPr>
        <w:t>161.293.417,</w:t>
      </w:r>
      <w:r w:rsidR="002747BA" w:rsidRPr="00821042">
        <w:rPr>
          <w:rFonts w:asciiTheme="minorHAnsi" w:hAnsiTheme="minorHAnsi"/>
          <w:sz w:val="22"/>
          <w:szCs w:val="22"/>
        </w:rPr>
        <w:t>00</w:t>
      </w:r>
      <w:r w:rsidR="008978B6" w:rsidRPr="00821042">
        <w:rPr>
          <w:rFonts w:asciiTheme="minorHAnsi" w:hAnsiTheme="minorHAnsi"/>
          <w:sz w:val="22"/>
          <w:szCs w:val="22"/>
        </w:rPr>
        <w:t xml:space="preserve"> zł</w:t>
      </w:r>
      <w:r w:rsidR="00E6387D">
        <w:rPr>
          <w:rFonts w:asciiTheme="minorHAnsi" w:hAnsiTheme="minorHAnsi"/>
          <w:sz w:val="22"/>
          <w:szCs w:val="22"/>
        </w:rPr>
        <w:t>,</w:t>
      </w:r>
    </w:p>
    <w:p w:rsidR="00E6387D" w:rsidRDefault="005C7BD6" w:rsidP="00E6387D">
      <w:pPr>
        <w:pStyle w:val="Tekstpodstawowy2"/>
        <w:spacing w:line="360" w:lineRule="auto"/>
        <w:ind w:left="714"/>
        <w:rPr>
          <w:rFonts w:asciiTheme="minorHAnsi" w:hAnsiTheme="minorHAnsi"/>
          <w:sz w:val="22"/>
          <w:szCs w:val="22"/>
        </w:rPr>
      </w:pPr>
      <w:r w:rsidRPr="00821042">
        <w:rPr>
          <w:rFonts w:asciiTheme="minorHAnsi" w:hAnsiTheme="minorHAnsi"/>
          <w:sz w:val="22"/>
          <w:szCs w:val="22"/>
        </w:rPr>
        <w:t xml:space="preserve">-  </w:t>
      </w:r>
      <w:r w:rsidR="008978B6" w:rsidRPr="00821042">
        <w:rPr>
          <w:rFonts w:asciiTheme="minorHAnsi" w:hAnsiTheme="minorHAnsi"/>
          <w:sz w:val="22"/>
          <w:szCs w:val="22"/>
        </w:rPr>
        <w:t xml:space="preserve">wydatków majątkowych w wysokości  </w:t>
      </w:r>
      <w:r w:rsidRPr="00821042">
        <w:rPr>
          <w:rFonts w:asciiTheme="minorHAnsi" w:hAnsiTheme="minorHAnsi"/>
          <w:sz w:val="22"/>
          <w:szCs w:val="22"/>
        </w:rPr>
        <w:t>23.847.131,</w:t>
      </w:r>
      <w:r w:rsidR="002747BA" w:rsidRPr="00821042">
        <w:rPr>
          <w:rFonts w:asciiTheme="minorHAnsi" w:hAnsiTheme="minorHAnsi"/>
          <w:sz w:val="22"/>
          <w:szCs w:val="22"/>
        </w:rPr>
        <w:t>00</w:t>
      </w:r>
      <w:r w:rsidRPr="00821042">
        <w:rPr>
          <w:rFonts w:asciiTheme="minorHAnsi" w:hAnsiTheme="minorHAnsi"/>
          <w:sz w:val="22"/>
          <w:szCs w:val="22"/>
        </w:rPr>
        <w:t xml:space="preserve"> zł</w:t>
      </w:r>
      <w:r w:rsidR="00E6387D">
        <w:rPr>
          <w:rFonts w:asciiTheme="minorHAnsi" w:hAnsiTheme="minorHAnsi"/>
          <w:sz w:val="22"/>
          <w:szCs w:val="22"/>
        </w:rPr>
        <w:t>.</w:t>
      </w:r>
    </w:p>
    <w:p w:rsidR="001404C2" w:rsidRPr="00D3442D" w:rsidRDefault="00821042" w:rsidP="00E6387D">
      <w:pPr>
        <w:pStyle w:val="Tekstpodstawowy2"/>
        <w:spacing w:line="360" w:lineRule="auto"/>
        <w:ind w:left="714"/>
      </w:pPr>
      <w:r w:rsidRPr="00821042">
        <w:t>P</w:t>
      </w:r>
      <w:r w:rsidR="008978B6" w:rsidRPr="00821042">
        <w:t>lanowana kwota deficytu w 201</w:t>
      </w:r>
      <w:r w:rsidR="00D15DD8" w:rsidRPr="00821042">
        <w:t>6</w:t>
      </w:r>
      <w:r w:rsidR="008978B6" w:rsidRPr="00821042">
        <w:t xml:space="preserve"> roku </w:t>
      </w:r>
      <w:r w:rsidR="0018635D" w:rsidRPr="00821042">
        <w:t>będzie</w:t>
      </w:r>
      <w:r w:rsidR="006D0C3B" w:rsidRPr="00821042">
        <w:t xml:space="preserve"> </w:t>
      </w:r>
      <w:r w:rsidR="008978B6" w:rsidRPr="00821042">
        <w:t xml:space="preserve">sfinansowana </w:t>
      </w:r>
      <w:r w:rsidR="002747BA" w:rsidRPr="00821042">
        <w:t>planowanymi</w:t>
      </w:r>
      <w:r w:rsidR="008978B6" w:rsidRPr="00821042">
        <w:t xml:space="preserve"> </w:t>
      </w:r>
      <w:r w:rsidR="00684BBE" w:rsidRPr="00821042">
        <w:t xml:space="preserve">przychodami </w:t>
      </w:r>
      <w:r w:rsidR="001404C2">
        <w:t xml:space="preserve">                        </w:t>
      </w:r>
      <w:r w:rsidR="00684BBE" w:rsidRPr="00821042">
        <w:t xml:space="preserve">z </w:t>
      </w:r>
      <w:r w:rsidR="00D15DD8" w:rsidRPr="00821042">
        <w:t>emisji obligacji komunalnych.</w:t>
      </w:r>
    </w:p>
    <w:p w:rsidR="001404C2" w:rsidRDefault="001404C2" w:rsidP="0059644E">
      <w:pPr>
        <w:spacing w:before="120" w:after="120" w:line="360" w:lineRule="auto"/>
        <w:jc w:val="both"/>
        <w:rPr>
          <w:rFonts w:cs="Arial"/>
          <w:b/>
        </w:rPr>
      </w:pPr>
    </w:p>
    <w:p w:rsidR="00160FF1" w:rsidRPr="00821042" w:rsidRDefault="00160FF1" w:rsidP="0059644E">
      <w:pPr>
        <w:spacing w:before="120" w:after="120" w:line="360" w:lineRule="auto"/>
        <w:jc w:val="both"/>
        <w:rPr>
          <w:rFonts w:cs="Arial"/>
          <w:b/>
        </w:rPr>
      </w:pPr>
      <w:r w:rsidRPr="00821042">
        <w:rPr>
          <w:rFonts w:cs="Arial"/>
          <w:b/>
        </w:rPr>
        <w:t>Wykaz przedsięwzięć</w:t>
      </w:r>
    </w:p>
    <w:p w:rsidR="00160FF1" w:rsidRPr="00821042" w:rsidRDefault="00160FF1" w:rsidP="001404C2">
      <w:pPr>
        <w:spacing w:before="120" w:after="120" w:line="360" w:lineRule="auto"/>
        <w:ind w:firstLine="708"/>
        <w:jc w:val="both"/>
        <w:rPr>
          <w:rFonts w:cs="Arial"/>
        </w:rPr>
      </w:pPr>
      <w:r w:rsidRPr="00821042">
        <w:rPr>
          <w:rFonts w:cs="Arial"/>
        </w:rPr>
        <w:t>Limity wydatków na poszczególne rodzaje przedsięwzięć określono do 20</w:t>
      </w:r>
      <w:r w:rsidR="0089031C">
        <w:rPr>
          <w:rFonts w:cs="Arial"/>
        </w:rPr>
        <w:t xml:space="preserve">21 </w:t>
      </w:r>
      <w:r w:rsidRPr="00821042">
        <w:rPr>
          <w:rFonts w:cs="Arial"/>
        </w:rPr>
        <w:t xml:space="preserve">roku. Zgodnie </w:t>
      </w:r>
      <w:r w:rsidR="001404C2">
        <w:rPr>
          <w:rFonts w:cs="Arial"/>
        </w:rPr>
        <w:t xml:space="preserve">                     </w:t>
      </w:r>
      <w:r w:rsidRPr="00821042">
        <w:rPr>
          <w:rFonts w:cs="Arial"/>
        </w:rPr>
        <w:t xml:space="preserve">z zapisami art. 231 ustawy o finansach publicznych </w:t>
      </w:r>
      <w:r w:rsidR="002747BA" w:rsidRPr="00821042">
        <w:rPr>
          <w:rFonts w:cs="Arial"/>
        </w:rPr>
        <w:t xml:space="preserve">zmiany wykazu mogą następować </w:t>
      </w:r>
      <w:r w:rsidR="00020242" w:rsidRPr="00821042">
        <w:rPr>
          <w:rFonts w:cs="Arial"/>
        </w:rPr>
        <w:t xml:space="preserve">wyłącznie </w:t>
      </w:r>
      <w:r w:rsidR="001404C2">
        <w:rPr>
          <w:rFonts w:cs="Arial"/>
        </w:rPr>
        <w:t xml:space="preserve">                          </w:t>
      </w:r>
      <w:r w:rsidRPr="00821042">
        <w:rPr>
          <w:rFonts w:cs="Arial"/>
        </w:rPr>
        <w:t>w wyniku podjęcia uchwały organu stanowiącego</w:t>
      </w:r>
      <w:r w:rsidR="00FE2D87" w:rsidRPr="00821042">
        <w:rPr>
          <w:rFonts w:cs="Arial"/>
        </w:rPr>
        <w:t xml:space="preserve"> jednostki samorządu terytorialnego, zmieniającej zakres wykonywania lub wstrzymującej wykonywanie przedsięwzięcia.</w:t>
      </w:r>
    </w:p>
    <w:p w:rsidR="00160FF1" w:rsidRPr="00821042" w:rsidRDefault="00160FF1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lastRenderedPageBreak/>
        <w:tab/>
        <w:t>Wykaz przedsięwzięć został dostosowany do nowych wymogów prawnych</w:t>
      </w:r>
      <w:r w:rsidR="00D1714C" w:rsidRPr="00821042">
        <w:rPr>
          <w:rFonts w:cs="Arial"/>
        </w:rPr>
        <w:t xml:space="preserve"> </w:t>
      </w:r>
      <w:r w:rsidRPr="00821042">
        <w:rPr>
          <w:rFonts w:cs="Arial"/>
        </w:rPr>
        <w:t xml:space="preserve"> i jest sporządzony w szczegółowości określonej ustalonym wzorem. W wykazie przedsięwzięć załączonym do uchwały określono odrębnie dla każdego przedsięwzięcia:</w:t>
      </w:r>
    </w:p>
    <w:p w:rsidR="00160FF1" w:rsidRPr="00821042" w:rsidRDefault="00160FF1" w:rsidP="0059644E">
      <w:pPr>
        <w:pStyle w:val="Akapitzlist"/>
        <w:numPr>
          <w:ilvl w:val="0"/>
          <w:numId w:val="3"/>
        </w:numPr>
        <w:spacing w:before="120" w:after="120" w:line="360" w:lineRule="auto"/>
        <w:ind w:left="1134" w:hanging="357"/>
        <w:jc w:val="both"/>
        <w:rPr>
          <w:rFonts w:cs="Arial"/>
        </w:rPr>
      </w:pPr>
      <w:r w:rsidRPr="00821042">
        <w:rPr>
          <w:rFonts w:cs="Arial"/>
        </w:rPr>
        <w:t>nazwę i cel,</w:t>
      </w:r>
    </w:p>
    <w:p w:rsidR="00160FF1" w:rsidRPr="00821042" w:rsidRDefault="00160FF1" w:rsidP="0059644E">
      <w:pPr>
        <w:pStyle w:val="Akapitzlist"/>
        <w:numPr>
          <w:ilvl w:val="0"/>
          <w:numId w:val="3"/>
        </w:numPr>
        <w:spacing w:before="120" w:after="120" w:line="360" w:lineRule="auto"/>
        <w:ind w:left="1134" w:hanging="357"/>
        <w:jc w:val="both"/>
        <w:rPr>
          <w:rFonts w:cs="Arial"/>
        </w:rPr>
      </w:pPr>
      <w:r w:rsidRPr="00821042">
        <w:rPr>
          <w:rFonts w:cs="Arial"/>
        </w:rPr>
        <w:t>jednostkę organizacyjną odpowiedzialną za realiz</w:t>
      </w:r>
      <w:r w:rsidR="001374A8" w:rsidRPr="00821042">
        <w:rPr>
          <w:rFonts w:cs="Arial"/>
        </w:rPr>
        <w:t>ację lub koordynującą wykonywan</w:t>
      </w:r>
      <w:r w:rsidRPr="00821042">
        <w:rPr>
          <w:rFonts w:cs="Arial"/>
        </w:rPr>
        <w:t>e przedsięwzięcie,</w:t>
      </w:r>
    </w:p>
    <w:p w:rsidR="00160FF1" w:rsidRPr="00821042" w:rsidRDefault="00160FF1" w:rsidP="0059644E">
      <w:pPr>
        <w:pStyle w:val="Akapitzlist"/>
        <w:numPr>
          <w:ilvl w:val="0"/>
          <w:numId w:val="3"/>
        </w:numPr>
        <w:spacing w:before="120" w:after="120" w:line="360" w:lineRule="auto"/>
        <w:ind w:left="1134" w:hanging="357"/>
        <w:jc w:val="both"/>
        <w:rPr>
          <w:rFonts w:cs="Arial"/>
        </w:rPr>
      </w:pPr>
      <w:r w:rsidRPr="00821042">
        <w:rPr>
          <w:rFonts w:cs="Arial"/>
        </w:rPr>
        <w:t>okres realizacji i łączne nakłady finansowe,</w:t>
      </w:r>
    </w:p>
    <w:p w:rsidR="00160FF1" w:rsidRPr="00821042" w:rsidRDefault="00160FF1" w:rsidP="0059644E">
      <w:pPr>
        <w:pStyle w:val="Akapitzlist"/>
        <w:numPr>
          <w:ilvl w:val="0"/>
          <w:numId w:val="3"/>
        </w:numPr>
        <w:spacing w:before="120" w:after="120" w:line="360" w:lineRule="auto"/>
        <w:ind w:left="1134" w:hanging="357"/>
        <w:jc w:val="both"/>
        <w:rPr>
          <w:rFonts w:cs="Arial"/>
        </w:rPr>
      </w:pPr>
      <w:r w:rsidRPr="00821042">
        <w:rPr>
          <w:rFonts w:cs="Arial"/>
        </w:rPr>
        <w:t>limity wydatków w poszczególnych latach,</w:t>
      </w:r>
    </w:p>
    <w:p w:rsidR="00160FF1" w:rsidRPr="00821042" w:rsidRDefault="00160FF1" w:rsidP="0059644E">
      <w:pPr>
        <w:pStyle w:val="Akapitzlist"/>
        <w:numPr>
          <w:ilvl w:val="0"/>
          <w:numId w:val="3"/>
        </w:numPr>
        <w:spacing w:before="120" w:after="120" w:line="360" w:lineRule="auto"/>
        <w:ind w:left="1134" w:hanging="357"/>
        <w:jc w:val="both"/>
        <w:rPr>
          <w:rFonts w:cs="Arial"/>
        </w:rPr>
      </w:pPr>
      <w:r w:rsidRPr="00821042">
        <w:rPr>
          <w:rFonts w:cs="Arial"/>
        </w:rPr>
        <w:t>limity zobowiązań.</w:t>
      </w:r>
    </w:p>
    <w:p w:rsidR="00852E71" w:rsidRPr="00821042" w:rsidRDefault="00852E71" w:rsidP="0059644E">
      <w:pPr>
        <w:pStyle w:val="Akapitzlist"/>
        <w:spacing w:before="120" w:after="120" w:line="360" w:lineRule="auto"/>
        <w:ind w:left="1134"/>
        <w:jc w:val="both"/>
        <w:rPr>
          <w:rFonts w:cs="Arial"/>
        </w:rPr>
      </w:pPr>
    </w:p>
    <w:p w:rsidR="00160FF1" w:rsidRPr="00821042" w:rsidRDefault="00160FF1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>Wykaz przedsięwzięć obejmuje obecnie:</w:t>
      </w:r>
    </w:p>
    <w:p w:rsidR="00D1714C" w:rsidRPr="00821042" w:rsidRDefault="00160FF1" w:rsidP="0059644E">
      <w:pPr>
        <w:pStyle w:val="Akapitzlist"/>
        <w:spacing w:before="120" w:after="120" w:line="360" w:lineRule="auto"/>
        <w:ind w:left="1134"/>
        <w:jc w:val="both"/>
        <w:rPr>
          <w:rFonts w:cs="Arial"/>
        </w:rPr>
      </w:pPr>
      <w:r w:rsidRPr="00821042">
        <w:rPr>
          <w:rFonts w:cs="Arial"/>
        </w:rPr>
        <w:t>- programy, projekty lub zadania, w tym związ</w:t>
      </w:r>
      <w:r w:rsidR="00B86B0C" w:rsidRPr="00821042">
        <w:rPr>
          <w:rFonts w:cs="Arial"/>
        </w:rPr>
        <w:t>ane z programami finansowanym</w:t>
      </w:r>
      <w:r w:rsidR="001404C2">
        <w:rPr>
          <w:rFonts w:cs="Arial"/>
        </w:rPr>
        <w:t xml:space="preserve">i                                 </w:t>
      </w:r>
      <w:r w:rsidRPr="00821042">
        <w:rPr>
          <w:rFonts w:cs="Arial"/>
        </w:rPr>
        <w:t xml:space="preserve">z udziałem środków, o których mowa w art. 5 ust. 1 </w:t>
      </w:r>
    </w:p>
    <w:p w:rsidR="00160FF1" w:rsidRPr="00821042" w:rsidRDefault="00160FF1" w:rsidP="0059644E">
      <w:pPr>
        <w:pStyle w:val="Akapitzlist"/>
        <w:spacing w:before="120" w:after="120" w:line="360" w:lineRule="auto"/>
        <w:ind w:left="1134"/>
        <w:jc w:val="both"/>
        <w:rPr>
          <w:rFonts w:cs="Arial"/>
        </w:rPr>
      </w:pPr>
      <w:r w:rsidRPr="00821042">
        <w:rPr>
          <w:rFonts w:cs="Arial"/>
        </w:rPr>
        <w:t>pkt 2 i 3 ustawy o finansach publicznych,</w:t>
      </w:r>
    </w:p>
    <w:p w:rsidR="00160FF1" w:rsidRPr="00821042" w:rsidRDefault="00160FF1" w:rsidP="0059644E">
      <w:pPr>
        <w:pStyle w:val="Akapitzlist"/>
        <w:spacing w:before="120" w:after="120" w:line="360" w:lineRule="auto"/>
        <w:ind w:left="1134"/>
        <w:jc w:val="both"/>
        <w:rPr>
          <w:rFonts w:cs="Arial"/>
        </w:rPr>
      </w:pPr>
      <w:r w:rsidRPr="00821042">
        <w:rPr>
          <w:rFonts w:cs="Arial"/>
        </w:rPr>
        <w:t>- umowy o partnerstwie publiczno-prywatnym,</w:t>
      </w:r>
    </w:p>
    <w:p w:rsidR="00160FF1" w:rsidRPr="00821042" w:rsidRDefault="00160FF1" w:rsidP="0059644E">
      <w:pPr>
        <w:pStyle w:val="Akapitzlist"/>
        <w:spacing w:before="120" w:after="120" w:line="360" w:lineRule="auto"/>
        <w:ind w:left="1134"/>
        <w:jc w:val="both"/>
        <w:rPr>
          <w:rFonts w:cs="Arial"/>
        </w:rPr>
      </w:pPr>
      <w:r w:rsidRPr="00821042">
        <w:rPr>
          <w:rFonts w:cs="Arial"/>
        </w:rPr>
        <w:t>- inne przedsięwzięcia.</w:t>
      </w:r>
    </w:p>
    <w:p w:rsidR="00394F09" w:rsidRPr="00821042" w:rsidRDefault="00160FF1" w:rsidP="0059644E">
      <w:pPr>
        <w:spacing w:before="120" w:after="120" w:line="360" w:lineRule="auto"/>
        <w:jc w:val="both"/>
        <w:rPr>
          <w:rFonts w:cs="Arial"/>
        </w:rPr>
      </w:pPr>
      <w:r w:rsidRPr="00821042">
        <w:rPr>
          <w:rFonts w:cs="Arial"/>
        </w:rPr>
        <w:t xml:space="preserve">Miasto </w:t>
      </w:r>
      <w:r w:rsidR="00690B46" w:rsidRPr="00821042">
        <w:rPr>
          <w:rFonts w:cs="Arial"/>
        </w:rPr>
        <w:t xml:space="preserve">Świętochłowice </w:t>
      </w:r>
      <w:r w:rsidRPr="00821042">
        <w:rPr>
          <w:rFonts w:cs="Arial"/>
        </w:rPr>
        <w:t>nie zawierało umów o partnerstwie publiczno-prywatnym.</w:t>
      </w:r>
    </w:p>
    <w:p w:rsidR="00394F09" w:rsidRPr="00821042" w:rsidRDefault="00394F09" w:rsidP="0059644E">
      <w:pPr>
        <w:spacing w:before="120" w:after="120" w:line="360" w:lineRule="auto"/>
        <w:jc w:val="both"/>
        <w:rPr>
          <w:rFonts w:cs="Arial"/>
        </w:rPr>
      </w:pPr>
    </w:p>
    <w:p w:rsidR="00394F09" w:rsidRPr="00821042" w:rsidRDefault="00394F09" w:rsidP="0059644E">
      <w:pPr>
        <w:spacing w:before="120" w:after="120" w:line="360" w:lineRule="auto"/>
        <w:jc w:val="both"/>
        <w:rPr>
          <w:rFonts w:cs="Arial"/>
        </w:rPr>
      </w:pPr>
    </w:p>
    <w:p w:rsidR="00553EA0" w:rsidRPr="00821042" w:rsidRDefault="00103A57" w:rsidP="00352B5A">
      <w:pPr>
        <w:spacing w:before="120" w:after="120" w:line="360" w:lineRule="auto"/>
        <w:jc w:val="both"/>
        <w:rPr>
          <w:rFonts w:cs="Times New Roman"/>
          <w:b/>
          <w:color w:val="365F91" w:themeColor="accent1" w:themeShade="BF"/>
        </w:rPr>
      </w:pPr>
      <w:r w:rsidRPr="00821042">
        <w:rPr>
          <w:rFonts w:cs="Arial"/>
        </w:rPr>
        <w:t xml:space="preserve">Świętochłowice, </w:t>
      </w:r>
      <w:r w:rsidR="001476CA">
        <w:rPr>
          <w:rFonts w:cs="Arial"/>
        </w:rPr>
        <w:t xml:space="preserve">dnia 21 grudnia </w:t>
      </w:r>
      <w:bookmarkStart w:id="0" w:name="_GoBack"/>
      <w:bookmarkEnd w:id="0"/>
      <w:r w:rsidRPr="00821042">
        <w:rPr>
          <w:rFonts w:cs="Arial"/>
        </w:rPr>
        <w:t>201</w:t>
      </w:r>
      <w:r w:rsidR="00D15DD8" w:rsidRPr="00821042">
        <w:rPr>
          <w:rFonts w:cs="Arial"/>
        </w:rPr>
        <w:t xml:space="preserve">5 </w:t>
      </w:r>
      <w:r w:rsidR="00394F09" w:rsidRPr="00821042">
        <w:rPr>
          <w:rFonts w:cs="Arial"/>
        </w:rPr>
        <w:t xml:space="preserve"> r</w:t>
      </w:r>
      <w:r w:rsidR="00D15DD8" w:rsidRPr="00821042">
        <w:rPr>
          <w:rFonts w:cs="Arial"/>
        </w:rPr>
        <w:t>oku</w:t>
      </w:r>
      <w:r w:rsidR="00394F09" w:rsidRPr="00821042">
        <w:rPr>
          <w:rFonts w:cs="Arial"/>
        </w:rPr>
        <w:t>.</w:t>
      </w:r>
      <w:r w:rsidR="00160FF1" w:rsidRPr="00821042">
        <w:rPr>
          <w:rFonts w:cs="Times New Roman"/>
        </w:rPr>
        <w:tab/>
      </w:r>
    </w:p>
    <w:sectPr w:rsidR="00553EA0" w:rsidRPr="00821042" w:rsidSect="004901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06C" w:rsidRDefault="005C206C" w:rsidP="002827D3">
      <w:pPr>
        <w:spacing w:after="0" w:line="240" w:lineRule="auto"/>
      </w:pPr>
      <w:r>
        <w:separator/>
      </w:r>
    </w:p>
  </w:endnote>
  <w:endnote w:type="continuationSeparator" w:id="0">
    <w:p w:rsidR="005C206C" w:rsidRDefault="005C206C" w:rsidP="0028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235"/>
      <w:docPartObj>
        <w:docPartGallery w:val="Page Numbers (Bottom of Page)"/>
        <w:docPartUnique/>
      </w:docPartObj>
    </w:sdtPr>
    <w:sdtEndPr/>
    <w:sdtContent>
      <w:p w:rsidR="009E1B6D" w:rsidRDefault="00765ECF">
        <w:pPr>
          <w:pStyle w:val="Stopka"/>
          <w:jc w:val="right"/>
        </w:pPr>
        <w:r>
          <w:fldChar w:fldCharType="begin"/>
        </w:r>
        <w:r w:rsidR="00CB5C98">
          <w:instrText xml:space="preserve"> PAGE   \* MERGEFORMAT </w:instrText>
        </w:r>
        <w:r>
          <w:fldChar w:fldCharType="separate"/>
        </w:r>
        <w:r w:rsidR="001476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E1B6D" w:rsidRDefault="009E1B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06C" w:rsidRDefault="005C206C" w:rsidP="002827D3">
      <w:pPr>
        <w:spacing w:after="0" w:line="240" w:lineRule="auto"/>
      </w:pPr>
      <w:r>
        <w:separator/>
      </w:r>
    </w:p>
  </w:footnote>
  <w:footnote w:type="continuationSeparator" w:id="0">
    <w:p w:rsidR="005C206C" w:rsidRDefault="005C206C" w:rsidP="00282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10CB"/>
    <w:multiLevelType w:val="hybridMultilevel"/>
    <w:tmpl w:val="ED125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0CA6"/>
    <w:multiLevelType w:val="hybridMultilevel"/>
    <w:tmpl w:val="ED2C4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39B"/>
    <w:multiLevelType w:val="hybridMultilevel"/>
    <w:tmpl w:val="A178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78BD"/>
    <w:multiLevelType w:val="hybridMultilevel"/>
    <w:tmpl w:val="74706B8A"/>
    <w:lvl w:ilvl="0" w:tplc="85EE8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E7D99"/>
    <w:multiLevelType w:val="hybridMultilevel"/>
    <w:tmpl w:val="79343A4C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54DE"/>
    <w:multiLevelType w:val="hybridMultilevel"/>
    <w:tmpl w:val="82ECF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A0D42"/>
    <w:multiLevelType w:val="hybridMultilevel"/>
    <w:tmpl w:val="A33263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30B43"/>
    <w:multiLevelType w:val="hybridMultilevel"/>
    <w:tmpl w:val="0E52D888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B6"/>
    <w:rsid w:val="000075CF"/>
    <w:rsid w:val="00020242"/>
    <w:rsid w:val="000261B0"/>
    <w:rsid w:val="000341E1"/>
    <w:rsid w:val="000445E2"/>
    <w:rsid w:val="000A1BBE"/>
    <w:rsid w:val="000A4466"/>
    <w:rsid w:val="000E08DD"/>
    <w:rsid w:val="00103A57"/>
    <w:rsid w:val="001072C5"/>
    <w:rsid w:val="001177BC"/>
    <w:rsid w:val="0012525A"/>
    <w:rsid w:val="001374A8"/>
    <w:rsid w:val="001404C2"/>
    <w:rsid w:val="001476CA"/>
    <w:rsid w:val="00156507"/>
    <w:rsid w:val="00160FF1"/>
    <w:rsid w:val="001641E9"/>
    <w:rsid w:val="00166EEB"/>
    <w:rsid w:val="00182BFE"/>
    <w:rsid w:val="0018635D"/>
    <w:rsid w:val="001A5DD8"/>
    <w:rsid w:val="001A66A0"/>
    <w:rsid w:val="001B6421"/>
    <w:rsid w:val="001C19CD"/>
    <w:rsid w:val="001E4AA9"/>
    <w:rsid w:val="00207311"/>
    <w:rsid w:val="002124FD"/>
    <w:rsid w:val="00244C40"/>
    <w:rsid w:val="00252B35"/>
    <w:rsid w:val="002747BA"/>
    <w:rsid w:val="00275DC9"/>
    <w:rsid w:val="002827D3"/>
    <w:rsid w:val="00285A5D"/>
    <w:rsid w:val="00293379"/>
    <w:rsid w:val="002A3C7E"/>
    <w:rsid w:val="002A7B4C"/>
    <w:rsid w:val="002B2FC5"/>
    <w:rsid w:val="002C0142"/>
    <w:rsid w:val="002C074E"/>
    <w:rsid w:val="002C0AF5"/>
    <w:rsid w:val="002E1ABD"/>
    <w:rsid w:val="00303D9E"/>
    <w:rsid w:val="00307F11"/>
    <w:rsid w:val="00314104"/>
    <w:rsid w:val="00332695"/>
    <w:rsid w:val="00337BCD"/>
    <w:rsid w:val="00352B5A"/>
    <w:rsid w:val="0037456C"/>
    <w:rsid w:val="00391F67"/>
    <w:rsid w:val="00394F09"/>
    <w:rsid w:val="003B416C"/>
    <w:rsid w:val="003B7C8B"/>
    <w:rsid w:val="003E7C51"/>
    <w:rsid w:val="003F122D"/>
    <w:rsid w:val="003F3EC4"/>
    <w:rsid w:val="00426921"/>
    <w:rsid w:val="00443246"/>
    <w:rsid w:val="0048279F"/>
    <w:rsid w:val="00484B7D"/>
    <w:rsid w:val="004901D4"/>
    <w:rsid w:val="004B2B46"/>
    <w:rsid w:val="004C1F28"/>
    <w:rsid w:val="004D78C8"/>
    <w:rsid w:val="004E0A3B"/>
    <w:rsid w:val="004F1B8A"/>
    <w:rsid w:val="004F45F0"/>
    <w:rsid w:val="00500AC1"/>
    <w:rsid w:val="00501700"/>
    <w:rsid w:val="005121CC"/>
    <w:rsid w:val="00512905"/>
    <w:rsid w:val="00521811"/>
    <w:rsid w:val="00553732"/>
    <w:rsid w:val="00553EA0"/>
    <w:rsid w:val="00562F40"/>
    <w:rsid w:val="00586B8E"/>
    <w:rsid w:val="0059644E"/>
    <w:rsid w:val="005B0C31"/>
    <w:rsid w:val="005B1155"/>
    <w:rsid w:val="005B7E83"/>
    <w:rsid w:val="005C02C0"/>
    <w:rsid w:val="005C206C"/>
    <w:rsid w:val="005C7BD6"/>
    <w:rsid w:val="005F16FC"/>
    <w:rsid w:val="00605E19"/>
    <w:rsid w:val="006503BB"/>
    <w:rsid w:val="00657684"/>
    <w:rsid w:val="00661AC5"/>
    <w:rsid w:val="00684BBE"/>
    <w:rsid w:val="006864D9"/>
    <w:rsid w:val="00690B46"/>
    <w:rsid w:val="006916A7"/>
    <w:rsid w:val="006C06AF"/>
    <w:rsid w:val="006D0C3B"/>
    <w:rsid w:val="006D2247"/>
    <w:rsid w:val="006E7860"/>
    <w:rsid w:val="006F6BA3"/>
    <w:rsid w:val="006F6CEC"/>
    <w:rsid w:val="0071703E"/>
    <w:rsid w:val="00747B2D"/>
    <w:rsid w:val="00750038"/>
    <w:rsid w:val="00750CE9"/>
    <w:rsid w:val="00757ED7"/>
    <w:rsid w:val="00765ECF"/>
    <w:rsid w:val="0077096C"/>
    <w:rsid w:val="00775B65"/>
    <w:rsid w:val="0079534B"/>
    <w:rsid w:val="007D6CA6"/>
    <w:rsid w:val="007E1FBD"/>
    <w:rsid w:val="007F0F5E"/>
    <w:rsid w:val="007F1FD4"/>
    <w:rsid w:val="00821042"/>
    <w:rsid w:val="0082494A"/>
    <w:rsid w:val="00852E71"/>
    <w:rsid w:val="00854FB7"/>
    <w:rsid w:val="00856A8A"/>
    <w:rsid w:val="00861F55"/>
    <w:rsid w:val="008740DB"/>
    <w:rsid w:val="0089031C"/>
    <w:rsid w:val="00890894"/>
    <w:rsid w:val="008978B6"/>
    <w:rsid w:val="008A1737"/>
    <w:rsid w:val="008A6B2C"/>
    <w:rsid w:val="00902DB7"/>
    <w:rsid w:val="00910D95"/>
    <w:rsid w:val="00921CBB"/>
    <w:rsid w:val="00934B49"/>
    <w:rsid w:val="00947E45"/>
    <w:rsid w:val="00954538"/>
    <w:rsid w:val="00970B83"/>
    <w:rsid w:val="0099687B"/>
    <w:rsid w:val="009A57BF"/>
    <w:rsid w:val="009A58DD"/>
    <w:rsid w:val="009B2C80"/>
    <w:rsid w:val="009B6731"/>
    <w:rsid w:val="009C14E9"/>
    <w:rsid w:val="009C5642"/>
    <w:rsid w:val="009C7709"/>
    <w:rsid w:val="009D5B72"/>
    <w:rsid w:val="009D6784"/>
    <w:rsid w:val="009E0864"/>
    <w:rsid w:val="009E1B6D"/>
    <w:rsid w:val="009E5B04"/>
    <w:rsid w:val="009F61AB"/>
    <w:rsid w:val="00A15B84"/>
    <w:rsid w:val="00A24BC3"/>
    <w:rsid w:val="00A25C14"/>
    <w:rsid w:val="00A335DF"/>
    <w:rsid w:val="00A42715"/>
    <w:rsid w:val="00A55061"/>
    <w:rsid w:val="00A657CD"/>
    <w:rsid w:val="00A669C1"/>
    <w:rsid w:val="00A7259B"/>
    <w:rsid w:val="00A768FD"/>
    <w:rsid w:val="00AA317D"/>
    <w:rsid w:val="00AA618D"/>
    <w:rsid w:val="00AC11D3"/>
    <w:rsid w:val="00AD4D40"/>
    <w:rsid w:val="00AD6E00"/>
    <w:rsid w:val="00AE7F83"/>
    <w:rsid w:val="00AF0599"/>
    <w:rsid w:val="00AF43F4"/>
    <w:rsid w:val="00B4277E"/>
    <w:rsid w:val="00B43E4E"/>
    <w:rsid w:val="00B86B0C"/>
    <w:rsid w:val="00BA10DE"/>
    <w:rsid w:val="00BC56AF"/>
    <w:rsid w:val="00C21CC3"/>
    <w:rsid w:val="00C229C0"/>
    <w:rsid w:val="00C42C2E"/>
    <w:rsid w:val="00C56032"/>
    <w:rsid w:val="00C7673A"/>
    <w:rsid w:val="00C858A7"/>
    <w:rsid w:val="00C8718D"/>
    <w:rsid w:val="00CB5C98"/>
    <w:rsid w:val="00CB74F7"/>
    <w:rsid w:val="00D15DD8"/>
    <w:rsid w:val="00D1714C"/>
    <w:rsid w:val="00D17C45"/>
    <w:rsid w:val="00D25AF2"/>
    <w:rsid w:val="00D31865"/>
    <w:rsid w:val="00D3442D"/>
    <w:rsid w:val="00D3606C"/>
    <w:rsid w:val="00D423F8"/>
    <w:rsid w:val="00D67D00"/>
    <w:rsid w:val="00D72A05"/>
    <w:rsid w:val="00D80BDD"/>
    <w:rsid w:val="00DA4EE0"/>
    <w:rsid w:val="00DC5386"/>
    <w:rsid w:val="00DE2CCC"/>
    <w:rsid w:val="00DE7035"/>
    <w:rsid w:val="00E02845"/>
    <w:rsid w:val="00E43660"/>
    <w:rsid w:val="00E63858"/>
    <w:rsid w:val="00E6387D"/>
    <w:rsid w:val="00E66FF0"/>
    <w:rsid w:val="00E719A0"/>
    <w:rsid w:val="00E71AD9"/>
    <w:rsid w:val="00EB2FFD"/>
    <w:rsid w:val="00EC10C3"/>
    <w:rsid w:val="00EC7127"/>
    <w:rsid w:val="00ED5A7A"/>
    <w:rsid w:val="00ED6C5E"/>
    <w:rsid w:val="00ED7CEE"/>
    <w:rsid w:val="00EE7DD3"/>
    <w:rsid w:val="00EF40C5"/>
    <w:rsid w:val="00EF5CAC"/>
    <w:rsid w:val="00EF5FE8"/>
    <w:rsid w:val="00F100BC"/>
    <w:rsid w:val="00F12340"/>
    <w:rsid w:val="00F2196A"/>
    <w:rsid w:val="00F23254"/>
    <w:rsid w:val="00F27851"/>
    <w:rsid w:val="00F542C5"/>
    <w:rsid w:val="00F72CB1"/>
    <w:rsid w:val="00F73A1A"/>
    <w:rsid w:val="00F80F83"/>
    <w:rsid w:val="00F81320"/>
    <w:rsid w:val="00F81DF7"/>
    <w:rsid w:val="00FC0C18"/>
    <w:rsid w:val="00FD5C20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0431D-317E-47B7-941C-FA5CC58F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8B6"/>
  </w:style>
  <w:style w:type="paragraph" w:styleId="Nagwek1">
    <w:name w:val="heading 1"/>
    <w:basedOn w:val="Normalny"/>
    <w:next w:val="Normalny"/>
    <w:link w:val="Nagwek1Znak"/>
    <w:uiPriority w:val="9"/>
    <w:qFormat/>
    <w:rsid w:val="00244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8B6"/>
    <w:pPr>
      <w:ind w:left="720"/>
      <w:contextualSpacing/>
    </w:pPr>
  </w:style>
  <w:style w:type="paragraph" w:customStyle="1" w:styleId="ZalBT6mm">
    <w:name w:val="_Zal_BT_6mm"/>
    <w:rsid w:val="008978B6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8978B6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978B6"/>
    <w:rPr>
      <w:rFonts w:ascii="Arial" w:eastAsia="Times New Roman" w:hAnsi="Arial" w:cs="Arial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7D3"/>
  </w:style>
  <w:style w:type="paragraph" w:styleId="Stopka">
    <w:name w:val="footer"/>
    <w:basedOn w:val="Normalny"/>
    <w:link w:val="StopkaZnak"/>
    <w:uiPriority w:val="99"/>
    <w:unhideWhenUsed/>
    <w:rsid w:val="00282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7D3"/>
  </w:style>
  <w:style w:type="character" w:customStyle="1" w:styleId="Nagwek1Znak">
    <w:name w:val="Nagłówek 1 Znak"/>
    <w:basedOn w:val="Domylnaczcionkaakapitu"/>
    <w:link w:val="Nagwek1"/>
    <w:uiPriority w:val="9"/>
    <w:rsid w:val="00244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lBTodstepy">
    <w:name w:val="_Zal_BT_odstepy"/>
    <w:rsid w:val="00244C40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ZalBT">
    <w:name w:val="_Zal_BT"/>
    <w:rsid w:val="009C14E9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B241-51FC-4FA3-9338-B7C6F271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1438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b.tanhojzer</dc:creator>
  <cp:lastModifiedBy>a.slezak</cp:lastModifiedBy>
  <cp:revision>10</cp:revision>
  <cp:lastPrinted>2015-12-22T14:05:00Z</cp:lastPrinted>
  <dcterms:created xsi:type="dcterms:W3CDTF">2015-11-16T06:45:00Z</dcterms:created>
  <dcterms:modified xsi:type="dcterms:W3CDTF">2015-12-22T14:05:00Z</dcterms:modified>
</cp:coreProperties>
</file>