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F5F" w:rsidRPr="00412887" w:rsidRDefault="00412887" w:rsidP="00412887">
      <w:pPr>
        <w:pStyle w:val="Nagwek10"/>
        <w:keepNext/>
        <w:keepLines/>
        <w:shd w:val="clear" w:color="auto" w:fill="auto"/>
        <w:ind w:right="-32"/>
        <w:jc w:val="right"/>
        <w:rPr>
          <w:sz w:val="22"/>
        </w:rPr>
      </w:pPr>
      <w:bookmarkStart w:id="0" w:name="bookmark0"/>
      <w:r w:rsidRPr="00412887">
        <w:rPr>
          <w:sz w:val="22"/>
        </w:rPr>
        <w:t>Załącznik nr 2 do opisu przedmiotu zamówienia</w:t>
      </w:r>
    </w:p>
    <w:p w:rsidR="002F7F5F" w:rsidRPr="00412887" w:rsidRDefault="002F7F5F">
      <w:pPr>
        <w:pStyle w:val="Nagwek10"/>
        <w:keepNext/>
        <w:keepLines/>
        <w:shd w:val="clear" w:color="auto" w:fill="auto"/>
        <w:rPr>
          <w:sz w:val="22"/>
        </w:rPr>
      </w:pPr>
    </w:p>
    <w:p w:rsidR="002F7F5F" w:rsidRPr="00412887" w:rsidRDefault="002F7F5F">
      <w:pPr>
        <w:pStyle w:val="Nagwek10"/>
        <w:keepNext/>
        <w:keepLines/>
        <w:shd w:val="clear" w:color="auto" w:fill="auto"/>
        <w:rPr>
          <w:sz w:val="22"/>
        </w:rPr>
      </w:pPr>
      <w:r w:rsidRPr="00412887">
        <w:rPr>
          <w:sz w:val="22"/>
        </w:rPr>
        <w:t>Cennik surowca drzewnego opracowany na podstawie cennika nr 1/201</w:t>
      </w:r>
      <w:r w:rsidR="00412887">
        <w:rPr>
          <w:sz w:val="22"/>
        </w:rPr>
        <w:t>8</w:t>
      </w:r>
      <w:r w:rsidRPr="00412887">
        <w:rPr>
          <w:sz w:val="22"/>
        </w:rPr>
        <w:t xml:space="preserve"> </w:t>
      </w:r>
      <w:bookmarkStart w:id="1" w:name="bookmark1"/>
      <w:bookmarkEnd w:id="0"/>
      <w:r w:rsidRPr="00412887">
        <w:rPr>
          <w:sz w:val="22"/>
        </w:rPr>
        <w:t>Nadleśnictwa Katowickiego</w:t>
      </w:r>
      <w:r w:rsidRPr="00412887">
        <w:rPr>
          <w:sz w:val="22"/>
        </w:rPr>
        <w:br/>
        <w:t>obowiązującego od dnia 01.0</w:t>
      </w:r>
      <w:r w:rsidR="00412887">
        <w:rPr>
          <w:sz w:val="22"/>
        </w:rPr>
        <w:t>4</w:t>
      </w:r>
      <w:r w:rsidRPr="00412887">
        <w:rPr>
          <w:sz w:val="22"/>
        </w:rPr>
        <w:t>.201</w:t>
      </w:r>
      <w:r w:rsidR="00412887">
        <w:rPr>
          <w:sz w:val="22"/>
        </w:rPr>
        <w:t>8</w:t>
      </w:r>
      <w:r w:rsidRPr="00412887">
        <w:rPr>
          <w:sz w:val="22"/>
        </w:rPr>
        <w:t>r.</w:t>
      </w:r>
      <w:bookmarkEnd w:id="1"/>
      <w:r w:rsidRPr="00412887">
        <w:rPr>
          <w:sz w:val="22"/>
        </w:rPr>
        <w:t xml:space="preserve"> </w:t>
      </w:r>
    </w:p>
    <w:p w:rsidR="002F7F5F" w:rsidRDefault="002F7F5F">
      <w:pPr>
        <w:pStyle w:val="Nagwek10"/>
        <w:keepNext/>
        <w:keepLines/>
        <w:shd w:val="clear" w:color="auto" w:fill="auto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526"/>
        <w:gridCol w:w="1814"/>
        <w:gridCol w:w="958"/>
        <w:gridCol w:w="3190"/>
        <w:gridCol w:w="6459"/>
      </w:tblGrid>
      <w:tr w:rsidR="00E15F4D" w:rsidRPr="00E15F4D" w:rsidTr="00412887">
        <w:trPr>
          <w:trHeight w:hRule="exact" w:val="274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spacing w:line="264" w:lineRule="auto"/>
              <w:rPr>
                <w:color w:val="auto"/>
              </w:rPr>
            </w:pPr>
            <w:r w:rsidRPr="00E15F4D">
              <w:rPr>
                <w:color w:val="auto"/>
              </w:rPr>
              <w:t>Określenie</w:t>
            </w:r>
          </w:p>
          <w:p w:rsidR="00E15F4D" w:rsidRPr="00E15F4D" w:rsidRDefault="00E15F4D" w:rsidP="00E15F4D">
            <w:pPr>
              <w:pStyle w:val="Inne0"/>
              <w:shd w:val="clear" w:color="auto" w:fill="auto"/>
              <w:spacing w:line="264" w:lineRule="auto"/>
              <w:rPr>
                <w:color w:val="auto"/>
              </w:rPr>
            </w:pPr>
            <w:r w:rsidRPr="00E15F4D">
              <w:rPr>
                <w:color w:val="auto"/>
              </w:rPr>
              <w:t>surowca wg</w:t>
            </w:r>
          </w:p>
          <w:p w:rsidR="00E15F4D" w:rsidRPr="00E15F4D" w:rsidRDefault="00E15F4D" w:rsidP="00E15F4D">
            <w:pPr>
              <w:pStyle w:val="Inne0"/>
              <w:shd w:val="clear" w:color="auto" w:fill="auto"/>
              <w:spacing w:line="264" w:lineRule="auto"/>
              <w:rPr>
                <w:color w:val="auto"/>
              </w:rPr>
            </w:pPr>
            <w:r w:rsidRPr="00E15F4D">
              <w:rPr>
                <w:color w:val="auto"/>
              </w:rPr>
              <w:t>KJW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Gatunek drewna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 xml:space="preserve">Jednostka </w:t>
            </w:r>
          </w:p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miary</w:t>
            </w:r>
          </w:p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</w:p>
        </w:tc>
        <w:tc>
          <w:tcPr>
            <w:tcW w:w="9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ind w:left="60"/>
              <w:rPr>
                <w:color w:val="auto"/>
              </w:rPr>
            </w:pPr>
            <w:r w:rsidRPr="00E15F4D">
              <w:rPr>
                <w:color w:val="auto"/>
              </w:rPr>
              <w:t>Drewno stosowe użytkowe, opałowe</w:t>
            </w:r>
          </w:p>
        </w:tc>
      </w:tr>
      <w:tr w:rsidR="00E15F4D" w:rsidRPr="00E15F4D" w:rsidTr="00412887">
        <w:trPr>
          <w:trHeight w:hRule="exact" w:val="490"/>
          <w:jc w:val="center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Netto</w:t>
            </w:r>
            <w:r>
              <w:rPr>
                <w:color w:val="auto"/>
              </w:rPr>
              <w:t xml:space="preserve"> [zł]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Stawka VAT</w:t>
            </w:r>
          </w:p>
        </w:tc>
      </w:tr>
      <w:tr w:rsidR="00131923" w:rsidRPr="00E15F4D" w:rsidTr="00364C54">
        <w:trPr>
          <w:trHeight w:val="667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S4 K. S4 D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spacing w:line="264" w:lineRule="auto"/>
              <w:rPr>
                <w:color w:val="auto"/>
              </w:rPr>
            </w:pPr>
            <w:r w:rsidRPr="00E15F4D">
              <w:rPr>
                <w:color w:val="auto"/>
              </w:rPr>
              <w:t>OPAL BRZ, DB, BK. JS. JW. GB. AK. KL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 w:rsidRPr="00E15F4D">
              <w:rPr>
                <w:color w:val="auto"/>
              </w:rPr>
              <w:t>m</w:t>
            </w:r>
            <w:r w:rsidRPr="00E15F4D">
              <w:rPr>
                <w:color w:val="auto"/>
                <w:vertAlign w:val="superscript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>
              <w:rPr>
                <w:color w:val="auto"/>
              </w:rPr>
              <w:t>160,00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bookmarkStart w:id="2" w:name="_GoBack"/>
            <w:bookmarkEnd w:id="2"/>
            <w:r w:rsidRPr="00E15F4D">
              <w:rPr>
                <w:color w:val="auto"/>
              </w:rPr>
              <w:t>8%</w:t>
            </w:r>
          </w:p>
        </w:tc>
      </w:tr>
      <w:tr w:rsidR="00E15F4D" w:rsidRPr="00E15F4D" w:rsidTr="00412887">
        <w:trPr>
          <w:trHeight w:hRule="exact" w:val="432"/>
          <w:jc w:val="center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spacing w:line="276" w:lineRule="auto"/>
              <w:rPr>
                <w:color w:val="auto"/>
              </w:rPr>
            </w:pPr>
            <w:r w:rsidRPr="00E15F4D">
              <w:rPr>
                <w:color w:val="auto"/>
              </w:rPr>
              <w:t>OPAL Pozostałe liściaste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m</w:t>
            </w:r>
            <w:r w:rsidRPr="00E15F4D">
              <w:rPr>
                <w:color w:val="auto"/>
                <w:vertAlign w:val="superscript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>
              <w:rPr>
                <w:color w:val="auto"/>
              </w:rPr>
              <w:t>120,00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8%</w:t>
            </w:r>
          </w:p>
        </w:tc>
      </w:tr>
      <w:tr w:rsidR="00E15F4D" w:rsidRPr="000D1BFB" w:rsidTr="00412887">
        <w:trPr>
          <w:trHeight w:hRule="exact" w:val="281"/>
          <w:jc w:val="center"/>
        </w:trPr>
        <w:tc>
          <w:tcPr>
            <w:tcW w:w="139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5F4D" w:rsidRPr="000D1BFB" w:rsidRDefault="00E15F4D" w:rsidP="00E15F4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E15F4D" w:rsidRPr="00E15F4D" w:rsidTr="00412887">
        <w:trPr>
          <w:trHeight w:hRule="exact" w:val="274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spacing w:line="264" w:lineRule="auto"/>
              <w:rPr>
                <w:color w:val="auto"/>
              </w:rPr>
            </w:pPr>
            <w:r w:rsidRPr="00E15F4D">
              <w:rPr>
                <w:color w:val="auto"/>
              </w:rPr>
              <w:t>Określenie</w:t>
            </w:r>
          </w:p>
          <w:p w:rsidR="00E15F4D" w:rsidRPr="00E15F4D" w:rsidRDefault="00E15F4D" w:rsidP="00E15F4D">
            <w:pPr>
              <w:pStyle w:val="Inne0"/>
              <w:shd w:val="clear" w:color="auto" w:fill="auto"/>
              <w:spacing w:line="264" w:lineRule="auto"/>
              <w:rPr>
                <w:color w:val="auto"/>
              </w:rPr>
            </w:pPr>
            <w:r w:rsidRPr="00E15F4D">
              <w:rPr>
                <w:color w:val="auto"/>
              </w:rPr>
              <w:t>surowca wg</w:t>
            </w:r>
          </w:p>
          <w:p w:rsidR="00E15F4D" w:rsidRPr="00E15F4D" w:rsidRDefault="00E15F4D" w:rsidP="00E15F4D">
            <w:pPr>
              <w:pStyle w:val="Inne0"/>
              <w:shd w:val="clear" w:color="auto" w:fill="auto"/>
              <w:spacing w:line="276" w:lineRule="auto"/>
              <w:rPr>
                <w:color w:val="auto"/>
              </w:rPr>
            </w:pPr>
            <w:r w:rsidRPr="00E15F4D">
              <w:rPr>
                <w:color w:val="auto"/>
              </w:rPr>
              <w:t>KJW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Gatunek drewna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Jednostka</w:t>
            </w:r>
          </w:p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miary</w:t>
            </w:r>
          </w:p>
        </w:tc>
        <w:tc>
          <w:tcPr>
            <w:tcW w:w="9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Drewno średnio i małowymiarowe</w:t>
            </w:r>
          </w:p>
        </w:tc>
      </w:tr>
      <w:tr w:rsidR="00E15F4D" w:rsidRPr="00E15F4D" w:rsidTr="00412887">
        <w:trPr>
          <w:trHeight w:hRule="exact" w:val="577"/>
          <w:jc w:val="center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Netto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5F4D" w:rsidRPr="00E15F4D" w:rsidRDefault="00E15F4D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Stawka VAT</w:t>
            </w:r>
          </w:p>
        </w:tc>
      </w:tr>
      <w:tr w:rsidR="00131923" w:rsidRPr="00E15F4D" w:rsidTr="00223688">
        <w:trPr>
          <w:trHeight w:val="68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M1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 w:rsidRPr="00E15F4D">
              <w:rPr>
                <w:color w:val="auto"/>
              </w:rPr>
              <w:t>Liściaste wszystkie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 w:rsidRPr="00E15F4D">
              <w:rPr>
                <w:color w:val="auto"/>
              </w:rPr>
              <w:t>m’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 w:rsidRPr="00E15F4D">
              <w:rPr>
                <w:color w:val="auto"/>
              </w:rPr>
              <w:t>65.00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 w:rsidRPr="00E15F4D">
              <w:rPr>
                <w:i/>
                <w:iCs/>
                <w:color w:val="auto"/>
              </w:rPr>
              <w:t>23%</w:t>
            </w:r>
          </w:p>
        </w:tc>
      </w:tr>
      <w:tr w:rsidR="00131923" w:rsidRPr="00E15F4D" w:rsidTr="00131923">
        <w:trPr>
          <w:trHeight w:val="92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shd w:val="clear" w:color="auto" w:fill="auto"/>
              <w:rPr>
                <w:color w:val="auto"/>
              </w:rPr>
            </w:pPr>
            <w:r w:rsidRPr="00E15F4D">
              <w:rPr>
                <w:color w:val="auto"/>
              </w:rPr>
              <w:t>M2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spacing w:line="283" w:lineRule="auto"/>
              <w:rPr>
                <w:color w:val="auto"/>
              </w:rPr>
            </w:pPr>
            <w:r w:rsidRPr="00E15F4D">
              <w:rPr>
                <w:color w:val="auto"/>
              </w:rPr>
              <w:t>Drobnica opałowa liściasta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 w:rsidRPr="00E15F4D">
              <w:rPr>
                <w:color w:val="auto"/>
              </w:rPr>
              <w:t>m</w:t>
            </w:r>
            <w:r w:rsidRPr="00E15F4D">
              <w:rPr>
                <w:color w:val="auto"/>
                <w:vertAlign w:val="superscript"/>
              </w:rPr>
              <w:t>3</w:t>
            </w:r>
            <w:r w:rsidRPr="00E15F4D">
              <w:rPr>
                <w:color w:val="auto"/>
              </w:rPr>
              <w:t xml:space="preserve">/ </w:t>
            </w:r>
            <w:proofErr w:type="spellStart"/>
            <w:r w:rsidRPr="00E15F4D">
              <w:rPr>
                <w:color w:val="auto"/>
              </w:rPr>
              <w:t>mp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 w:rsidRPr="00E15F4D">
              <w:rPr>
                <w:color w:val="auto"/>
              </w:rPr>
              <w:t>55.00/13,75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1923" w:rsidRPr="00E15F4D" w:rsidRDefault="00131923" w:rsidP="00E15F4D">
            <w:pPr>
              <w:pStyle w:val="Inne0"/>
              <w:rPr>
                <w:color w:val="auto"/>
              </w:rPr>
            </w:pPr>
            <w:r w:rsidRPr="00E15F4D">
              <w:rPr>
                <w:i/>
                <w:iCs/>
                <w:color w:val="auto"/>
              </w:rPr>
              <w:t>8% / 8%</w:t>
            </w:r>
          </w:p>
        </w:tc>
      </w:tr>
    </w:tbl>
    <w:p w:rsidR="002F7F5F" w:rsidRDefault="002F7F5F">
      <w:pPr>
        <w:spacing w:after="206" w:line="14" w:lineRule="exact"/>
      </w:pPr>
    </w:p>
    <w:sectPr w:rsidR="002F7F5F" w:rsidSect="00131923">
      <w:pgSz w:w="16838" w:h="11906" w:orient="landscape" w:code="9"/>
      <w:pgMar w:top="1418" w:right="993" w:bottom="1418" w:left="851" w:header="0" w:footer="3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31E" w:rsidRDefault="0041331E">
      <w:r>
        <w:separator/>
      </w:r>
    </w:p>
  </w:endnote>
  <w:endnote w:type="continuationSeparator" w:id="0">
    <w:p w:rsidR="0041331E" w:rsidRDefault="00413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31E" w:rsidRDefault="0041331E"/>
  </w:footnote>
  <w:footnote w:type="continuationSeparator" w:id="0">
    <w:p w:rsidR="0041331E" w:rsidRDefault="0041331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C30"/>
    <w:rsid w:val="000530C8"/>
    <w:rsid w:val="000940DA"/>
    <w:rsid w:val="000D1BFB"/>
    <w:rsid w:val="00116439"/>
    <w:rsid w:val="00131923"/>
    <w:rsid w:val="001837FC"/>
    <w:rsid w:val="001A1E2E"/>
    <w:rsid w:val="002F7F5F"/>
    <w:rsid w:val="00330C53"/>
    <w:rsid w:val="003D10FB"/>
    <w:rsid w:val="00412887"/>
    <w:rsid w:val="0041331E"/>
    <w:rsid w:val="004743BA"/>
    <w:rsid w:val="00555254"/>
    <w:rsid w:val="005D2ABA"/>
    <w:rsid w:val="00646C30"/>
    <w:rsid w:val="00716B8C"/>
    <w:rsid w:val="00940AD0"/>
    <w:rsid w:val="009661CD"/>
    <w:rsid w:val="009E5D14"/>
    <w:rsid w:val="00A52798"/>
    <w:rsid w:val="00AE6791"/>
    <w:rsid w:val="00BB3BF2"/>
    <w:rsid w:val="00BB568C"/>
    <w:rsid w:val="00BE570C"/>
    <w:rsid w:val="00BF08FD"/>
    <w:rsid w:val="00C572D2"/>
    <w:rsid w:val="00CF62E3"/>
    <w:rsid w:val="00E15F4D"/>
    <w:rsid w:val="00E439A6"/>
    <w:rsid w:val="00E54870"/>
    <w:rsid w:val="00F6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DB0D32-4CAC-4795-9B32-E082E464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0AD0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940AD0"/>
    <w:rPr>
      <w:rFonts w:ascii="Arial" w:eastAsia="Times New Roman" w:hAnsi="Arial" w:cs="Arial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940AD0"/>
    <w:rPr>
      <w:rFonts w:ascii="Arial" w:eastAsia="Times New Roman" w:hAnsi="Arial" w:cs="Arial"/>
      <w:sz w:val="28"/>
      <w:szCs w:val="28"/>
      <w:u w:val="none"/>
    </w:rPr>
  </w:style>
  <w:style w:type="character" w:customStyle="1" w:styleId="Inne">
    <w:name w:val="Inne_"/>
    <w:basedOn w:val="Domylnaczcionkaakapitu"/>
    <w:link w:val="Inne0"/>
    <w:uiPriority w:val="99"/>
    <w:locked/>
    <w:rsid w:val="00940AD0"/>
    <w:rPr>
      <w:rFonts w:ascii="Arial" w:eastAsia="Times New Roman" w:hAnsi="Arial" w:cs="Arial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40AD0"/>
    <w:rPr>
      <w:rFonts w:ascii="Arial" w:eastAsia="Times New Roman" w:hAnsi="Arial" w:cs="Arial"/>
      <w:color w:val="588079"/>
      <w:sz w:val="16"/>
      <w:szCs w:val="16"/>
      <w:u w:val="none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940AD0"/>
    <w:rPr>
      <w:rFonts w:ascii="Arial" w:eastAsia="Times New Roman" w:hAnsi="Arial" w:cs="Arial"/>
      <w:i/>
      <w:iCs/>
      <w:sz w:val="19"/>
      <w:szCs w:val="19"/>
      <w:u w:val="none"/>
    </w:rPr>
  </w:style>
  <w:style w:type="paragraph" w:customStyle="1" w:styleId="Teksttreci0">
    <w:name w:val="Tekst treści"/>
    <w:basedOn w:val="Normalny"/>
    <w:link w:val="Teksttreci"/>
    <w:uiPriority w:val="99"/>
    <w:rsid w:val="00940AD0"/>
    <w:pPr>
      <w:shd w:val="clear" w:color="auto" w:fill="FFFFFF"/>
      <w:spacing w:line="252" w:lineRule="auto"/>
      <w:jc w:val="both"/>
    </w:pPr>
    <w:rPr>
      <w:rFonts w:ascii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uiPriority w:val="99"/>
    <w:rsid w:val="00940AD0"/>
    <w:pPr>
      <w:shd w:val="clear" w:color="auto" w:fill="FFFFFF"/>
      <w:spacing w:line="264" w:lineRule="auto"/>
      <w:ind w:right="880"/>
      <w:jc w:val="center"/>
      <w:outlineLvl w:val="0"/>
    </w:pPr>
    <w:rPr>
      <w:rFonts w:ascii="Arial" w:hAnsi="Arial" w:cs="Arial"/>
      <w:sz w:val="28"/>
      <w:szCs w:val="28"/>
    </w:rPr>
  </w:style>
  <w:style w:type="paragraph" w:customStyle="1" w:styleId="Inne0">
    <w:name w:val="Inne"/>
    <w:basedOn w:val="Normalny"/>
    <w:link w:val="Inne"/>
    <w:uiPriority w:val="99"/>
    <w:rsid w:val="00940AD0"/>
    <w:pPr>
      <w:shd w:val="clear" w:color="auto" w:fill="FFFFFF"/>
      <w:jc w:val="center"/>
    </w:pPr>
    <w:rPr>
      <w:rFonts w:ascii="Arial" w:hAnsi="Arial" w:cs="Arial"/>
      <w:sz w:val="16"/>
      <w:szCs w:val="16"/>
    </w:rPr>
  </w:style>
  <w:style w:type="paragraph" w:customStyle="1" w:styleId="Teksttreci20">
    <w:name w:val="Tekst treści (2)"/>
    <w:basedOn w:val="Normalny"/>
    <w:link w:val="Teksttreci2"/>
    <w:uiPriority w:val="99"/>
    <w:rsid w:val="00940AD0"/>
    <w:pPr>
      <w:shd w:val="clear" w:color="auto" w:fill="FFFFFF"/>
      <w:spacing w:after="220"/>
      <w:jc w:val="center"/>
    </w:pPr>
    <w:rPr>
      <w:rFonts w:ascii="Arial" w:hAnsi="Arial" w:cs="Arial"/>
      <w:color w:val="588079"/>
      <w:sz w:val="16"/>
      <w:szCs w:val="16"/>
    </w:rPr>
  </w:style>
  <w:style w:type="paragraph" w:customStyle="1" w:styleId="Nagwek20">
    <w:name w:val="Nagłówek #2"/>
    <w:basedOn w:val="Normalny"/>
    <w:link w:val="Nagwek2"/>
    <w:uiPriority w:val="99"/>
    <w:rsid w:val="00940AD0"/>
    <w:pPr>
      <w:shd w:val="clear" w:color="auto" w:fill="FFFFFF"/>
      <w:spacing w:after="110" w:line="252" w:lineRule="auto"/>
      <w:jc w:val="both"/>
      <w:outlineLvl w:val="1"/>
    </w:pPr>
    <w:rPr>
      <w:rFonts w:ascii="Arial" w:hAnsi="Arial" w:cs="Arial"/>
      <w:i/>
      <w:iCs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rsid w:val="00C572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572D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m.stera</dc:creator>
  <cp:keywords/>
  <dc:description/>
  <cp:lastModifiedBy>Michał Lange</cp:lastModifiedBy>
  <cp:revision>2</cp:revision>
  <cp:lastPrinted>2018-07-10T06:02:00Z</cp:lastPrinted>
  <dcterms:created xsi:type="dcterms:W3CDTF">2018-07-10T06:02:00Z</dcterms:created>
  <dcterms:modified xsi:type="dcterms:W3CDTF">2018-07-10T06:02:00Z</dcterms:modified>
</cp:coreProperties>
</file>