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49" w:rsidRPr="003B579A" w:rsidRDefault="00CD7049" w:rsidP="00CD7049">
      <w:pPr>
        <w:jc w:val="right"/>
        <w:rPr>
          <w:rFonts w:asciiTheme="minorHAnsi" w:hAnsiTheme="minorHAnsi" w:cstheme="minorHAnsi"/>
          <w:sz w:val="22"/>
          <w:szCs w:val="22"/>
        </w:rPr>
      </w:pPr>
      <w:r w:rsidRPr="003B579A">
        <w:rPr>
          <w:rFonts w:asciiTheme="minorHAnsi" w:hAnsiTheme="minorHAnsi" w:cstheme="minorHAnsi"/>
          <w:sz w:val="22"/>
          <w:szCs w:val="22"/>
        </w:rPr>
        <w:t xml:space="preserve">Świętochłowice, dnia </w:t>
      </w:r>
      <w:r>
        <w:rPr>
          <w:rFonts w:asciiTheme="minorHAnsi" w:hAnsiTheme="minorHAnsi" w:cstheme="minorHAnsi"/>
          <w:sz w:val="22"/>
          <w:szCs w:val="22"/>
        </w:rPr>
        <w:t>8 kwietnia</w:t>
      </w:r>
      <w:r w:rsidRPr="003B579A">
        <w:rPr>
          <w:rFonts w:asciiTheme="minorHAnsi" w:hAnsiTheme="minorHAnsi" w:cstheme="minorHAnsi"/>
          <w:sz w:val="22"/>
          <w:szCs w:val="22"/>
        </w:rPr>
        <w:t xml:space="preserve"> 2020 r. </w:t>
      </w:r>
    </w:p>
    <w:p w:rsidR="00CD7049" w:rsidRPr="003B579A" w:rsidRDefault="00CD7049" w:rsidP="00CD7049">
      <w:pPr>
        <w:jc w:val="both"/>
        <w:rPr>
          <w:rFonts w:asciiTheme="minorHAnsi" w:hAnsiTheme="minorHAnsi" w:cstheme="minorHAnsi"/>
          <w:sz w:val="22"/>
          <w:szCs w:val="22"/>
        </w:rPr>
      </w:pPr>
    </w:p>
    <w:p w:rsidR="00CD7049" w:rsidRPr="003B579A" w:rsidRDefault="00CD7049" w:rsidP="00CD7049">
      <w:pPr>
        <w:jc w:val="both"/>
        <w:rPr>
          <w:rFonts w:asciiTheme="minorHAnsi" w:hAnsiTheme="minorHAnsi" w:cstheme="minorHAnsi"/>
          <w:sz w:val="22"/>
          <w:szCs w:val="22"/>
        </w:rPr>
      </w:pPr>
      <w:r w:rsidRPr="003B579A">
        <w:rPr>
          <w:rFonts w:asciiTheme="minorHAnsi" w:hAnsiTheme="minorHAnsi" w:cstheme="minorHAnsi"/>
          <w:sz w:val="22"/>
          <w:szCs w:val="22"/>
        </w:rPr>
        <w:t>MK.6840.12.3.2020.GP</w:t>
      </w:r>
      <w:bookmarkStart w:id="0" w:name="_GoBack"/>
      <w:bookmarkEnd w:id="0"/>
    </w:p>
    <w:p w:rsidR="00CD7049" w:rsidRPr="003B579A" w:rsidRDefault="00CD7049" w:rsidP="00CD7049">
      <w:pPr>
        <w:jc w:val="both"/>
        <w:rPr>
          <w:rFonts w:asciiTheme="minorHAnsi" w:hAnsiTheme="minorHAnsi" w:cstheme="minorHAnsi"/>
          <w:sz w:val="22"/>
          <w:szCs w:val="22"/>
        </w:rPr>
      </w:pPr>
    </w:p>
    <w:p w:rsidR="00CD7049" w:rsidRPr="003B579A" w:rsidRDefault="00CD7049" w:rsidP="00CD7049">
      <w:pPr>
        <w:widowControl w:val="0"/>
        <w:jc w:val="both"/>
        <w:rPr>
          <w:rFonts w:asciiTheme="minorHAnsi" w:hAnsiTheme="minorHAnsi" w:cstheme="minorHAnsi"/>
          <w:sz w:val="22"/>
          <w:szCs w:val="22"/>
        </w:rPr>
      </w:pPr>
      <w:r w:rsidRPr="003B579A">
        <w:rPr>
          <w:rFonts w:asciiTheme="minorHAnsi" w:hAnsiTheme="minorHAnsi" w:cstheme="minorHAnsi"/>
          <w:sz w:val="22"/>
          <w:szCs w:val="22"/>
        </w:rPr>
        <w:t xml:space="preserve">Na podstawie art. 35 ustawy z  dnia  21 sierpnia 1997 r. o gospodarce  nieruchomościami (Dz.U. z 2020 r., poz. 65, z późn. zm.)  </w:t>
      </w:r>
    </w:p>
    <w:p w:rsidR="00CD7049" w:rsidRPr="003B579A" w:rsidRDefault="00CD7049" w:rsidP="00CD7049">
      <w:pPr>
        <w:jc w:val="both"/>
        <w:rPr>
          <w:rFonts w:asciiTheme="minorHAnsi" w:hAnsiTheme="minorHAnsi" w:cstheme="minorHAnsi"/>
          <w:sz w:val="22"/>
          <w:szCs w:val="22"/>
        </w:rPr>
      </w:pPr>
    </w:p>
    <w:p w:rsidR="00CD7049" w:rsidRPr="003B579A" w:rsidRDefault="00CD7049" w:rsidP="00CD7049">
      <w:pPr>
        <w:jc w:val="center"/>
        <w:rPr>
          <w:rFonts w:asciiTheme="minorHAnsi" w:hAnsiTheme="minorHAnsi" w:cstheme="minorHAnsi"/>
          <w:b/>
          <w:sz w:val="22"/>
          <w:szCs w:val="22"/>
        </w:rPr>
      </w:pPr>
      <w:r w:rsidRPr="003B579A">
        <w:rPr>
          <w:rFonts w:asciiTheme="minorHAnsi" w:hAnsiTheme="minorHAnsi" w:cstheme="minorHAnsi"/>
          <w:b/>
          <w:sz w:val="22"/>
          <w:szCs w:val="22"/>
        </w:rPr>
        <w:t>Prezydent   Miasta   Świętochłowice</w:t>
      </w:r>
    </w:p>
    <w:p w:rsidR="00CD7049" w:rsidRPr="003B579A" w:rsidRDefault="00CD7049" w:rsidP="00CD7049">
      <w:pPr>
        <w:jc w:val="center"/>
        <w:rPr>
          <w:rFonts w:asciiTheme="minorHAnsi" w:hAnsiTheme="minorHAnsi" w:cstheme="minorHAnsi"/>
          <w:sz w:val="22"/>
          <w:szCs w:val="22"/>
        </w:rPr>
      </w:pPr>
      <w:r w:rsidRPr="003B579A">
        <w:rPr>
          <w:rFonts w:asciiTheme="minorHAnsi" w:hAnsiTheme="minorHAnsi" w:cstheme="minorHAnsi"/>
          <w:sz w:val="22"/>
          <w:szCs w:val="22"/>
        </w:rPr>
        <w:t>podaje do publicznej wiadomości wykaz nieruchomości przeznaczonej do zbycia</w:t>
      </w:r>
    </w:p>
    <w:p w:rsidR="00CD7049" w:rsidRPr="00D37769" w:rsidRDefault="00CD7049" w:rsidP="00CD7049">
      <w:pPr>
        <w:jc w:val="center"/>
        <w:rPr>
          <w:sz w:val="22"/>
          <w:szCs w:val="22"/>
        </w:rPr>
      </w:pPr>
    </w:p>
    <w:p w:rsidR="00CD7049" w:rsidRPr="00503841" w:rsidRDefault="00CD7049" w:rsidP="00CD7049">
      <w:pPr>
        <w:pStyle w:val="Akapitzlist"/>
        <w:numPr>
          <w:ilvl w:val="0"/>
          <w:numId w:val="2"/>
        </w:numPr>
        <w:spacing w:line="276" w:lineRule="auto"/>
        <w:jc w:val="both"/>
        <w:rPr>
          <w:rFonts w:asciiTheme="minorHAnsi" w:hAnsiTheme="minorHAnsi" w:cstheme="minorHAnsi"/>
          <w:sz w:val="22"/>
          <w:szCs w:val="22"/>
        </w:rPr>
      </w:pPr>
      <w:r w:rsidRPr="002F3CE7">
        <w:rPr>
          <w:rFonts w:asciiTheme="minorHAnsi" w:hAnsiTheme="minorHAnsi" w:cstheme="minorHAnsi"/>
          <w:b/>
          <w:sz w:val="22"/>
          <w:szCs w:val="22"/>
        </w:rPr>
        <w:t>Oznaczenie nieruchomości wg księgi wieczystej:</w:t>
      </w:r>
      <w:r w:rsidRPr="002F3CE7">
        <w:rPr>
          <w:rFonts w:asciiTheme="minorHAnsi" w:hAnsiTheme="minorHAnsi" w:cstheme="minorHAnsi"/>
          <w:sz w:val="22"/>
          <w:szCs w:val="22"/>
        </w:rPr>
        <w:t xml:space="preserve"> KW nr </w:t>
      </w:r>
      <w:r w:rsidRPr="002F3CE7">
        <w:rPr>
          <w:rFonts w:asciiTheme="minorHAnsi" w:hAnsiTheme="minorHAnsi" w:cstheme="minorHAnsi"/>
          <w:sz w:val="22"/>
        </w:rPr>
        <w:t>KA1C/00016207/0 prowadzona przez Sąd Rejonowy w Chorzowi</w:t>
      </w:r>
      <w:r>
        <w:rPr>
          <w:rFonts w:asciiTheme="minorHAnsi" w:hAnsiTheme="minorHAnsi" w:cstheme="minorHAnsi"/>
          <w:sz w:val="22"/>
        </w:rPr>
        <w:t>e, VI Wydział Ksiąg Wieczystych.</w:t>
      </w:r>
      <w:r w:rsidRPr="002F3CE7">
        <w:rPr>
          <w:rFonts w:asciiTheme="minorHAnsi" w:hAnsiTheme="minorHAnsi" w:cstheme="minorHAnsi"/>
          <w:sz w:val="22"/>
        </w:rPr>
        <w:t xml:space="preserve"> </w:t>
      </w:r>
    </w:p>
    <w:p w:rsidR="00CD7049" w:rsidRPr="00503841" w:rsidRDefault="00CD7049" w:rsidP="00CD7049">
      <w:pPr>
        <w:pStyle w:val="Akapitzlist"/>
        <w:numPr>
          <w:ilvl w:val="0"/>
          <w:numId w:val="2"/>
        </w:numPr>
        <w:spacing w:line="276" w:lineRule="auto"/>
        <w:jc w:val="both"/>
        <w:rPr>
          <w:rFonts w:asciiTheme="minorHAnsi" w:hAnsiTheme="minorHAnsi" w:cstheme="minorHAnsi"/>
          <w:sz w:val="22"/>
          <w:szCs w:val="22"/>
        </w:rPr>
      </w:pPr>
      <w:r w:rsidRPr="002F3CE7">
        <w:rPr>
          <w:rFonts w:asciiTheme="minorHAnsi" w:hAnsiTheme="minorHAnsi" w:cstheme="minorHAnsi"/>
          <w:b/>
          <w:sz w:val="22"/>
          <w:szCs w:val="22"/>
        </w:rPr>
        <w:t xml:space="preserve">Oznaczenie nieruchomości wg ewidencji gruntów: </w:t>
      </w:r>
      <w:r w:rsidRPr="002F3CE7">
        <w:rPr>
          <w:rFonts w:asciiTheme="minorHAnsi" w:hAnsiTheme="minorHAnsi" w:cstheme="minorHAnsi"/>
          <w:sz w:val="22"/>
          <w:szCs w:val="22"/>
        </w:rPr>
        <w:t>działka</w:t>
      </w:r>
      <w:r w:rsidRPr="002F3CE7">
        <w:rPr>
          <w:rFonts w:asciiTheme="minorHAnsi" w:hAnsiTheme="minorHAnsi" w:cstheme="minorHAnsi"/>
          <w:sz w:val="22"/>
        </w:rPr>
        <w:t xml:space="preserve"> nr 4110/1, obręb 0003 (Świętochłowice), jednostka rejestrowa </w:t>
      </w:r>
      <w:r w:rsidRPr="002F3CE7">
        <w:rPr>
          <w:rFonts w:asciiTheme="minorHAnsi" w:hAnsiTheme="minorHAnsi" w:cstheme="minorHAnsi"/>
          <w:sz w:val="22"/>
          <w:szCs w:val="22"/>
        </w:rPr>
        <w:t xml:space="preserve">G.2322. </w:t>
      </w:r>
    </w:p>
    <w:p w:rsidR="00CD7049" w:rsidRPr="00503841" w:rsidRDefault="00CD7049" w:rsidP="00CD7049">
      <w:pPr>
        <w:pStyle w:val="Akapitzlist"/>
        <w:numPr>
          <w:ilvl w:val="0"/>
          <w:numId w:val="2"/>
        </w:numPr>
        <w:spacing w:line="276" w:lineRule="auto"/>
        <w:jc w:val="both"/>
        <w:rPr>
          <w:rFonts w:asciiTheme="minorHAnsi" w:hAnsiTheme="minorHAnsi" w:cstheme="minorHAnsi"/>
          <w:sz w:val="22"/>
          <w:szCs w:val="22"/>
        </w:rPr>
      </w:pPr>
      <w:r w:rsidRPr="002F3CE7">
        <w:rPr>
          <w:rFonts w:asciiTheme="minorHAnsi" w:hAnsiTheme="minorHAnsi" w:cstheme="minorHAnsi"/>
          <w:b/>
          <w:sz w:val="22"/>
          <w:szCs w:val="22"/>
        </w:rPr>
        <w:t xml:space="preserve">Powierzchnia nieruchomości: </w:t>
      </w:r>
      <w:r w:rsidRPr="002F3CE7">
        <w:rPr>
          <w:rFonts w:asciiTheme="minorHAnsi" w:hAnsiTheme="minorHAnsi" w:cstheme="minorHAnsi"/>
          <w:sz w:val="22"/>
          <w:szCs w:val="22"/>
        </w:rPr>
        <w:t>łączna powierzchnia 0,1659 ha</w:t>
      </w:r>
      <w:r>
        <w:rPr>
          <w:rFonts w:asciiTheme="minorHAnsi" w:hAnsiTheme="minorHAnsi" w:cstheme="minorHAnsi"/>
          <w:sz w:val="22"/>
          <w:szCs w:val="22"/>
        </w:rPr>
        <w:t>.</w:t>
      </w:r>
    </w:p>
    <w:p w:rsidR="00CD7049" w:rsidRPr="00503841" w:rsidRDefault="00CD7049" w:rsidP="00CD7049">
      <w:pPr>
        <w:pStyle w:val="Akapitzlist"/>
        <w:numPr>
          <w:ilvl w:val="0"/>
          <w:numId w:val="2"/>
        </w:numPr>
        <w:overflowPunct/>
        <w:spacing w:line="276" w:lineRule="auto"/>
        <w:jc w:val="both"/>
        <w:textAlignment w:val="auto"/>
        <w:rPr>
          <w:rFonts w:asciiTheme="minorHAnsi" w:eastAsia="CIDFont+F10" w:hAnsiTheme="minorHAnsi" w:cstheme="minorHAnsi"/>
          <w:sz w:val="22"/>
          <w:szCs w:val="22"/>
        </w:rPr>
      </w:pPr>
      <w:r w:rsidRPr="00DC785E">
        <w:rPr>
          <w:rFonts w:asciiTheme="minorHAnsi" w:hAnsiTheme="minorHAnsi" w:cstheme="minorHAnsi"/>
          <w:b/>
          <w:sz w:val="22"/>
          <w:szCs w:val="22"/>
        </w:rPr>
        <w:t xml:space="preserve">Opis nieruchomości: </w:t>
      </w:r>
      <w:r w:rsidRPr="00DC785E">
        <w:rPr>
          <w:rFonts w:asciiTheme="minorHAnsi" w:eastAsia="CIDFont+F10" w:hAnsiTheme="minorHAnsi" w:cstheme="minorHAnsi"/>
          <w:sz w:val="22"/>
          <w:szCs w:val="22"/>
        </w:rPr>
        <w:t>Nieruchomość gruntowa o kształcie zbliżonym do prostokąta. Teren nieruchomości płaski, kształt nieruchomości regularny.</w:t>
      </w:r>
      <w:r w:rsidRPr="00DC785E">
        <w:rPr>
          <w:rFonts w:ascii="CIDFont+F1" w:eastAsia="CIDFont+F10" w:hAnsi="CIDFont+F1" w:cs="CIDFont+F1"/>
          <w:sz w:val="24"/>
          <w:szCs w:val="24"/>
        </w:rPr>
        <w:t xml:space="preserve"> </w:t>
      </w:r>
      <w:r w:rsidRPr="00DC785E">
        <w:rPr>
          <w:rFonts w:asciiTheme="minorHAnsi" w:eastAsia="CIDFont+F10" w:hAnsiTheme="minorHAnsi" w:cstheme="minorHAnsi"/>
          <w:sz w:val="22"/>
          <w:szCs w:val="22"/>
        </w:rPr>
        <w:t>Nieruchomość obejmuje działkę gruntu oznaczoną geodezyjnie pod numerem 4110/1. Powierzchnia nieruchomości gruntowej to 1 659,00 m</w:t>
      </w:r>
      <w:r w:rsidRPr="00DC785E">
        <w:rPr>
          <w:rFonts w:asciiTheme="minorHAnsi" w:eastAsia="CIDFont+F10" w:hAnsiTheme="minorHAnsi" w:cstheme="minorHAnsi"/>
          <w:sz w:val="22"/>
          <w:szCs w:val="22"/>
          <w:vertAlign w:val="superscript"/>
        </w:rPr>
        <w:t>2</w:t>
      </w:r>
      <w:r w:rsidRPr="00DC785E">
        <w:rPr>
          <w:rFonts w:asciiTheme="minorHAnsi" w:eastAsia="CIDFont+F10" w:hAnsiTheme="minorHAnsi" w:cstheme="minorHAnsi"/>
          <w:sz w:val="22"/>
          <w:szCs w:val="22"/>
        </w:rPr>
        <w:t>. Teren nieruchomości jest urządzony, dojścia do budynku oraz niezabudowana powierzchnia nieruchomości są utwardzone asfaltobetonem. Z tyłu budynku znajduje się także utwardzony plac. Nieruchomość jest otoczona ogrodzeniem stalowym. Od strony wschodniej budynek znajduje się w pierzei ulicy Szkolnej. Ekspozycja w pierwszej linii zabudowy od strony ul. Szkolnej. Nieruchomość posiada bezpośredni dostęp do drogi publicznej, ul. Szkolnej. Zapewniona możliwość wjazdu na teren nieruchomości Działka jest zabudowana budynkiem oświaty, pełniącym do niedawna funkcję szkoły. Budynek jest aktualnie nieużytkowany. Kubatura budynku: 7 513,00 m</w:t>
      </w:r>
      <w:r w:rsidRPr="00DC785E">
        <w:rPr>
          <w:rFonts w:asciiTheme="minorHAnsi" w:eastAsia="CIDFont+F10" w:hAnsiTheme="minorHAnsi" w:cstheme="minorHAnsi"/>
          <w:sz w:val="22"/>
          <w:szCs w:val="22"/>
          <w:vertAlign w:val="superscript"/>
        </w:rPr>
        <w:t>3</w:t>
      </w:r>
      <w:r w:rsidRPr="00DC785E">
        <w:rPr>
          <w:rFonts w:asciiTheme="minorHAnsi" w:eastAsia="CIDFont+F10" w:hAnsiTheme="minorHAnsi" w:cstheme="minorHAnsi"/>
          <w:sz w:val="22"/>
          <w:szCs w:val="22"/>
        </w:rPr>
        <w:t>, powierzchnia zabudowy: 368,00 m</w:t>
      </w:r>
      <w:r w:rsidRPr="00DC785E">
        <w:rPr>
          <w:rFonts w:asciiTheme="minorHAnsi" w:eastAsia="CIDFont+F10" w:hAnsiTheme="minorHAnsi" w:cstheme="minorHAnsi"/>
          <w:sz w:val="22"/>
          <w:szCs w:val="22"/>
          <w:vertAlign w:val="superscript"/>
        </w:rPr>
        <w:t>2</w:t>
      </w:r>
      <w:r w:rsidRPr="00DC785E">
        <w:rPr>
          <w:rFonts w:asciiTheme="minorHAnsi" w:eastAsia="CIDFont+F10" w:hAnsiTheme="minorHAnsi" w:cstheme="minorHAnsi"/>
          <w:sz w:val="22"/>
          <w:szCs w:val="22"/>
        </w:rPr>
        <w:t>, powierzchnia użytkowa: 1 461,12 m</w:t>
      </w:r>
      <w:r w:rsidRPr="00DC785E">
        <w:rPr>
          <w:rFonts w:asciiTheme="minorHAnsi" w:eastAsia="CIDFont+F10" w:hAnsiTheme="minorHAnsi" w:cstheme="minorHAnsi"/>
          <w:sz w:val="22"/>
          <w:szCs w:val="22"/>
          <w:vertAlign w:val="superscript"/>
        </w:rPr>
        <w:t>2</w:t>
      </w:r>
      <w:r w:rsidRPr="00DC785E">
        <w:rPr>
          <w:rFonts w:asciiTheme="minorHAnsi" w:eastAsia="CIDFont+F10" w:hAnsiTheme="minorHAnsi" w:cstheme="minorHAnsi"/>
          <w:sz w:val="22"/>
          <w:szCs w:val="22"/>
        </w:rPr>
        <w:t xml:space="preserve">. Budynek wzniesiony w roku 1894, posiada trzy kondygnacje nadziemne z poddaszem nieużytkowym oraz podpiwniczenie pod całą bryłą budynku. W budynku wydzielono sale dydaktyczne, pomieszczenia socjalno-administracyjne oraz korytarze komunikacyjne. Budynek w rejestrze oznaczony jest pod numerem 3421. </w:t>
      </w:r>
    </w:p>
    <w:p w:rsidR="00CD7049" w:rsidRPr="00503841" w:rsidRDefault="00CD7049" w:rsidP="00CD7049">
      <w:pPr>
        <w:pStyle w:val="Akapitzlist"/>
        <w:numPr>
          <w:ilvl w:val="0"/>
          <w:numId w:val="2"/>
        </w:numPr>
        <w:spacing w:line="276" w:lineRule="auto"/>
        <w:jc w:val="both"/>
        <w:rPr>
          <w:rFonts w:asciiTheme="minorHAnsi" w:hAnsiTheme="minorHAnsi" w:cstheme="minorHAnsi"/>
          <w:sz w:val="22"/>
          <w:szCs w:val="22"/>
        </w:rPr>
      </w:pPr>
      <w:r w:rsidRPr="00C04056">
        <w:rPr>
          <w:rFonts w:asciiTheme="minorHAnsi" w:hAnsiTheme="minorHAnsi" w:cstheme="minorHAnsi"/>
          <w:b/>
          <w:sz w:val="22"/>
          <w:szCs w:val="22"/>
        </w:rPr>
        <w:t xml:space="preserve">Przeznaczenie nieruchomości i sposób jej zagospodarowania: </w:t>
      </w:r>
      <w:r w:rsidRPr="00C04056">
        <w:rPr>
          <w:rFonts w:asciiTheme="minorHAnsi" w:hAnsiTheme="minorHAnsi" w:cstheme="minorHAnsi"/>
          <w:sz w:val="22"/>
          <w:szCs w:val="22"/>
        </w:rPr>
        <w:t>t</w:t>
      </w:r>
      <w:r w:rsidRPr="00C04056">
        <w:rPr>
          <w:rFonts w:asciiTheme="minorHAnsi" w:eastAsia="CIDFont+F10" w:hAnsiTheme="minorHAnsi" w:cstheme="minorHAnsi"/>
          <w:sz w:val="22"/>
          <w:szCs w:val="22"/>
        </w:rPr>
        <w:t>eren nieruchomości znajduje się na obszarze, na którym obowiązuje miejscowy plan</w:t>
      </w:r>
      <w:r w:rsidRPr="00C04056">
        <w:rPr>
          <w:rFonts w:asciiTheme="minorHAnsi" w:hAnsiTheme="minorHAnsi" w:cstheme="minorHAnsi"/>
          <w:sz w:val="22"/>
          <w:szCs w:val="22"/>
        </w:rPr>
        <w:t xml:space="preserve"> </w:t>
      </w:r>
      <w:r w:rsidRPr="00C04056">
        <w:rPr>
          <w:rFonts w:asciiTheme="minorHAnsi" w:eastAsia="CIDFont+F10" w:hAnsiTheme="minorHAnsi" w:cstheme="minorHAnsi"/>
          <w:sz w:val="22"/>
          <w:szCs w:val="22"/>
        </w:rPr>
        <w:t>zagospodarowania przestrzennego: miejscowy plan zagospodarowania przestrzennego dla</w:t>
      </w:r>
      <w:r w:rsidRPr="00C04056">
        <w:rPr>
          <w:rFonts w:asciiTheme="minorHAnsi" w:hAnsiTheme="minorHAnsi" w:cstheme="minorHAnsi"/>
          <w:sz w:val="22"/>
          <w:szCs w:val="22"/>
        </w:rPr>
        <w:t xml:space="preserve"> </w:t>
      </w:r>
      <w:r w:rsidRPr="00C04056">
        <w:rPr>
          <w:rFonts w:asciiTheme="minorHAnsi" w:eastAsia="CIDFont+F10" w:hAnsiTheme="minorHAnsi" w:cstheme="minorHAnsi"/>
          <w:sz w:val="22"/>
          <w:szCs w:val="22"/>
        </w:rPr>
        <w:t>obszaru w rejonie ulic: DTŚ, Bytomskiej oraz torów kolejowych i granicy administracyjnej</w:t>
      </w:r>
      <w:r w:rsidRPr="00C04056">
        <w:rPr>
          <w:rFonts w:asciiTheme="minorHAnsi" w:hAnsiTheme="minorHAnsi" w:cstheme="minorHAnsi"/>
          <w:sz w:val="22"/>
          <w:szCs w:val="22"/>
        </w:rPr>
        <w:t xml:space="preserve"> </w:t>
      </w:r>
      <w:r w:rsidRPr="00C04056">
        <w:rPr>
          <w:rFonts w:asciiTheme="minorHAnsi" w:eastAsia="CIDFont+F10" w:hAnsiTheme="minorHAnsi" w:cstheme="minorHAnsi"/>
          <w:sz w:val="22"/>
          <w:szCs w:val="22"/>
        </w:rPr>
        <w:t>miasta. Uchwała Rady Miejskiej w Świętochłowicach nr XXV/231/16 z dnia 19.09.2016 r.</w:t>
      </w:r>
      <w:r w:rsidRPr="00C04056">
        <w:rPr>
          <w:rFonts w:asciiTheme="minorHAnsi" w:hAnsiTheme="minorHAnsi" w:cstheme="minorHAnsi"/>
          <w:sz w:val="22"/>
          <w:szCs w:val="22"/>
        </w:rPr>
        <w:t xml:space="preserve"> </w:t>
      </w:r>
      <w:r w:rsidRPr="00C04056">
        <w:rPr>
          <w:rFonts w:asciiTheme="minorHAnsi" w:eastAsia="CIDFont+F10" w:hAnsiTheme="minorHAnsi" w:cstheme="minorHAnsi"/>
          <w:sz w:val="22"/>
          <w:szCs w:val="22"/>
        </w:rPr>
        <w:t>Teren oznaczony jest symbolem UO – tereny zabudowy usług oświaty.</w:t>
      </w:r>
    </w:p>
    <w:p w:rsidR="00CD7049" w:rsidRPr="00503841"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 xml:space="preserve">Cena zbycia nieruchomości: </w:t>
      </w:r>
      <w:r w:rsidRPr="00DC785E">
        <w:rPr>
          <w:rFonts w:asciiTheme="minorHAnsi" w:hAnsiTheme="minorHAnsi" w:cstheme="minorHAnsi"/>
          <w:sz w:val="22"/>
          <w:szCs w:val="22"/>
        </w:rPr>
        <w:t>1 000 000,00 zł</w:t>
      </w:r>
      <w:r w:rsidRPr="00DC785E">
        <w:rPr>
          <w:rFonts w:asciiTheme="minorHAnsi" w:hAnsiTheme="minorHAnsi" w:cstheme="minorHAnsi"/>
          <w:b/>
          <w:sz w:val="22"/>
          <w:szCs w:val="22"/>
        </w:rPr>
        <w:t xml:space="preserve"> </w:t>
      </w:r>
      <w:r w:rsidRPr="00DC785E">
        <w:rPr>
          <w:rFonts w:asciiTheme="minorHAnsi" w:hAnsiTheme="minorHAnsi" w:cstheme="minorHAnsi"/>
          <w:sz w:val="22"/>
          <w:szCs w:val="22"/>
        </w:rPr>
        <w:t>(słownie: jeden milion złotych 00/100) netto.</w:t>
      </w:r>
      <w:r>
        <w:rPr>
          <w:rFonts w:asciiTheme="minorHAnsi" w:hAnsiTheme="minorHAnsi" w:cstheme="minorHAnsi"/>
          <w:sz w:val="22"/>
          <w:szCs w:val="22"/>
        </w:rPr>
        <w:t xml:space="preserve"> Sprzedaż nieruchomości zabudowanej jest zwolniona z VAT zgodnie z art. 43 ust. 10 lit. a) ustawy z dnia 11 marca 2004 r. o podatku od towarów i usług (Dz. U. z 2020 r. poz. 106).</w:t>
      </w:r>
    </w:p>
    <w:p w:rsidR="00CD7049" w:rsidRPr="00DC785E"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 xml:space="preserve">Wysokość  stawek  procentowych  opłat  z  tytułu użytkowania wieczystego: </w:t>
      </w:r>
      <w:r w:rsidRPr="00DC785E">
        <w:rPr>
          <w:rFonts w:asciiTheme="minorHAnsi" w:hAnsiTheme="minorHAnsi" w:cstheme="minorHAnsi"/>
          <w:sz w:val="22"/>
          <w:szCs w:val="22"/>
        </w:rPr>
        <w:t>nie dotyczy</w:t>
      </w:r>
    </w:p>
    <w:p w:rsidR="00CD7049" w:rsidRPr="00DC785E"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Wysokość opłat z tytułu użytkowania, najmu lub dzierżawy:</w:t>
      </w:r>
      <w:r w:rsidRPr="00DC785E">
        <w:rPr>
          <w:rFonts w:asciiTheme="minorHAnsi" w:hAnsiTheme="minorHAnsi" w:cstheme="minorHAnsi"/>
          <w:sz w:val="22"/>
          <w:szCs w:val="22"/>
        </w:rPr>
        <w:t xml:space="preserve"> nie dotyczy</w:t>
      </w:r>
    </w:p>
    <w:p w:rsidR="00CD7049" w:rsidRPr="00DC785E"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 xml:space="preserve">Terminy wnoszenia opłat: </w:t>
      </w:r>
      <w:r w:rsidRPr="00DC785E">
        <w:rPr>
          <w:rFonts w:asciiTheme="minorHAnsi" w:hAnsiTheme="minorHAnsi" w:cstheme="minorHAnsi"/>
          <w:sz w:val="22"/>
          <w:szCs w:val="22"/>
        </w:rPr>
        <w:t xml:space="preserve">nie dotyczy </w:t>
      </w:r>
    </w:p>
    <w:p w:rsidR="00CD7049" w:rsidRPr="00DC785E"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Zasady aktualizacji opłat</w:t>
      </w:r>
      <w:r w:rsidRPr="00DC785E">
        <w:rPr>
          <w:rFonts w:asciiTheme="minorHAnsi" w:hAnsiTheme="minorHAnsi" w:cstheme="minorHAnsi"/>
          <w:sz w:val="22"/>
          <w:szCs w:val="22"/>
        </w:rPr>
        <w:t>:</w:t>
      </w:r>
      <w:r w:rsidRPr="00DC785E">
        <w:rPr>
          <w:rFonts w:asciiTheme="minorHAnsi" w:hAnsiTheme="minorHAnsi" w:cstheme="minorHAnsi"/>
          <w:b/>
          <w:sz w:val="22"/>
          <w:szCs w:val="22"/>
        </w:rPr>
        <w:t xml:space="preserve"> </w:t>
      </w:r>
      <w:r w:rsidRPr="00DC785E">
        <w:rPr>
          <w:rFonts w:asciiTheme="minorHAnsi" w:hAnsiTheme="minorHAnsi" w:cstheme="minorHAnsi"/>
          <w:sz w:val="22"/>
          <w:szCs w:val="22"/>
        </w:rPr>
        <w:t>nie dotyczy</w:t>
      </w:r>
    </w:p>
    <w:p w:rsidR="00CD7049" w:rsidRPr="00DC785E"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 xml:space="preserve">Informacja o przeznaczeniu do sprzedaży, do oddania w użytkowanie wieczyste, użytkowanie, najem lub dzierżawę: </w:t>
      </w:r>
      <w:r w:rsidRPr="00DC785E">
        <w:rPr>
          <w:rFonts w:asciiTheme="minorHAnsi" w:hAnsiTheme="minorHAnsi" w:cstheme="minorHAnsi"/>
          <w:sz w:val="22"/>
          <w:szCs w:val="22"/>
        </w:rPr>
        <w:t>sprzedaż nieruchomości nastąpi w drodze przetargu ustnego nieograniczonego.</w:t>
      </w:r>
    </w:p>
    <w:p w:rsidR="00CD7049" w:rsidRPr="00DC785E" w:rsidRDefault="00CD7049" w:rsidP="00CD7049">
      <w:pPr>
        <w:pStyle w:val="Akapitzlist"/>
        <w:numPr>
          <w:ilvl w:val="0"/>
          <w:numId w:val="2"/>
        </w:numPr>
        <w:spacing w:line="276" w:lineRule="auto"/>
        <w:jc w:val="both"/>
        <w:rPr>
          <w:rFonts w:asciiTheme="minorHAnsi" w:hAnsiTheme="minorHAnsi" w:cstheme="minorHAnsi"/>
          <w:sz w:val="22"/>
          <w:szCs w:val="22"/>
        </w:rPr>
      </w:pPr>
      <w:r w:rsidRPr="00DC785E">
        <w:rPr>
          <w:rFonts w:asciiTheme="minorHAnsi" w:hAnsiTheme="minorHAnsi" w:cstheme="minorHAnsi"/>
          <w:b/>
          <w:sz w:val="22"/>
          <w:szCs w:val="22"/>
        </w:rPr>
        <w:t>Termin do złożenia wniosku przez osoby, którym przysługuje pierwszeństwo w nabyciu nieruchomości na podstawie art. 34 ust. 1 pkt 1 i pkt 2</w:t>
      </w:r>
      <w:r w:rsidRPr="00DC785E">
        <w:rPr>
          <w:rFonts w:asciiTheme="minorHAnsi" w:hAnsiTheme="minorHAnsi" w:cstheme="minorHAnsi"/>
          <w:sz w:val="22"/>
          <w:szCs w:val="22"/>
        </w:rPr>
        <w:t>:</w:t>
      </w:r>
      <w:r w:rsidRPr="00DC785E">
        <w:rPr>
          <w:rFonts w:asciiTheme="minorHAnsi" w:hAnsiTheme="minorHAnsi" w:cstheme="minorHAnsi"/>
          <w:b/>
          <w:sz w:val="22"/>
          <w:szCs w:val="22"/>
        </w:rPr>
        <w:t xml:space="preserve"> </w:t>
      </w:r>
      <w:r w:rsidRPr="00DC785E">
        <w:rPr>
          <w:rFonts w:asciiTheme="minorHAnsi" w:hAnsiTheme="minorHAnsi" w:cstheme="minorHAnsi"/>
          <w:sz w:val="22"/>
          <w:szCs w:val="22"/>
        </w:rPr>
        <w:t>6 tygodni, licząc od dnia wywieszenia wykazu.</w:t>
      </w:r>
    </w:p>
    <w:p w:rsidR="00CD7049" w:rsidRPr="00D37769" w:rsidRDefault="00CD7049" w:rsidP="00CD7049">
      <w:pPr>
        <w:jc w:val="both"/>
        <w:rPr>
          <w:b/>
          <w:sz w:val="22"/>
          <w:szCs w:val="22"/>
        </w:rPr>
      </w:pPr>
    </w:p>
    <w:p w:rsidR="00CD7049" w:rsidRPr="00503841" w:rsidRDefault="00CD7049" w:rsidP="00CD7049">
      <w:pPr>
        <w:jc w:val="both"/>
        <w:rPr>
          <w:rFonts w:asciiTheme="minorHAnsi" w:hAnsiTheme="minorHAnsi" w:cstheme="minorHAnsi"/>
          <w:sz w:val="22"/>
          <w:szCs w:val="22"/>
        </w:rPr>
      </w:pPr>
      <w:r w:rsidRPr="00503841">
        <w:rPr>
          <w:rFonts w:asciiTheme="minorHAnsi" w:hAnsiTheme="minorHAnsi" w:cstheme="minorHAnsi"/>
          <w:sz w:val="22"/>
          <w:szCs w:val="22"/>
        </w:rPr>
        <w:t xml:space="preserve">Informację o wywieszeniu wykazu podaje się do publicznej wiadomości poprzez ogłoszeni w Monitorze Urzędowym, Biuletynie Informacji Publicznej Urzędu Miejskiego w Świętochłowicach, a także na tablicy ogłoszeń w Urzędzie Miejskim. </w:t>
      </w:r>
    </w:p>
    <w:p w:rsidR="00CD7049" w:rsidRPr="00503841" w:rsidRDefault="00CD7049" w:rsidP="00CD7049">
      <w:pPr>
        <w:jc w:val="both"/>
        <w:rPr>
          <w:rFonts w:asciiTheme="minorHAnsi" w:hAnsiTheme="minorHAnsi" w:cstheme="minorHAnsi"/>
          <w:sz w:val="22"/>
          <w:szCs w:val="22"/>
        </w:rPr>
      </w:pPr>
    </w:p>
    <w:p w:rsidR="00CD7049" w:rsidRPr="00503841" w:rsidRDefault="00CD7049" w:rsidP="00CD7049">
      <w:pPr>
        <w:jc w:val="both"/>
        <w:rPr>
          <w:rFonts w:asciiTheme="minorHAnsi" w:hAnsiTheme="minorHAnsi" w:cstheme="minorHAnsi"/>
          <w:position w:val="6"/>
          <w:sz w:val="22"/>
          <w:szCs w:val="22"/>
        </w:rPr>
      </w:pPr>
      <w:r w:rsidRPr="00503841">
        <w:rPr>
          <w:rFonts w:asciiTheme="minorHAnsi" w:hAnsiTheme="minorHAnsi" w:cstheme="minorHAnsi"/>
          <w:sz w:val="22"/>
          <w:szCs w:val="22"/>
        </w:rPr>
        <w:t>Bliższych informacji  udziela Wydział Mienia Komunalnego tut. Urzędu Miejskiego pokój nr 118, tel. 32/3491-931.</w:t>
      </w:r>
    </w:p>
    <w:p w:rsidR="00CD7049" w:rsidRPr="00E215DB" w:rsidRDefault="00CD7049" w:rsidP="00CD7049">
      <w:pPr>
        <w:jc w:val="both"/>
        <w:rPr>
          <w:rFonts w:asciiTheme="minorHAnsi" w:hAnsiTheme="minorHAnsi" w:cstheme="minorHAnsi"/>
          <w:sz w:val="22"/>
          <w:szCs w:val="22"/>
        </w:rPr>
      </w:pPr>
    </w:p>
    <w:p w:rsidR="00E2081F" w:rsidRDefault="00E2081F"/>
    <w:sectPr w:rsidR="00E2081F" w:rsidSect="00B73AB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IDFont+F10">
    <w:altName w:val="Arial Unicode MS"/>
    <w:panose1 w:val="00000000000000000000"/>
    <w:charset w:val="88"/>
    <w:family w:val="auto"/>
    <w:notTrueType/>
    <w:pitch w:val="default"/>
    <w:sig w:usb0="00000000"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972"/>
    <w:multiLevelType w:val="multilevel"/>
    <w:tmpl w:val="ECDE87B8"/>
    <w:lvl w:ilvl="0">
      <w:start w:val="1"/>
      <w:numFmt w:val="decimal"/>
      <w:suff w:val="space"/>
      <w:lvlText w:val="%1."/>
      <w:lvlJc w:val="left"/>
      <w:pPr>
        <w:ind w:left="0" w:firstLine="0"/>
      </w:pPr>
      <w:rPr>
        <w:rFonts w:ascii="Times New Roman" w:hAnsi="Times New Roman" w:hint="default"/>
        <w:b w:val="0"/>
        <w:i w:val="0"/>
        <w:caps w:val="0"/>
        <w:strike w:val="0"/>
        <w:dstrike w:val="0"/>
        <w:vanish w:val="0"/>
        <w:sz w:val="22"/>
        <w:vertAlign w:val="baseline"/>
      </w:rPr>
    </w:lvl>
    <w:lvl w:ilvl="1">
      <w:start w:val="1"/>
      <w:numFmt w:val="decimal"/>
      <w:lvlText w:val="%2)"/>
      <w:lvlJc w:val="left"/>
      <w:pPr>
        <w:ind w:left="0" w:firstLine="0"/>
      </w:pPr>
      <w:rPr>
        <w:rFonts w:ascii="Times New Roman" w:hAnsi="Times New Roman" w:hint="default"/>
        <w:b w:val="0"/>
        <w:i w:val="0"/>
        <w:caps w:val="0"/>
        <w:strike w:val="0"/>
        <w:dstrike w:val="0"/>
        <w:vanish w:val="0"/>
        <w:sz w:val="22"/>
        <w:vertAlign w:val="baseline"/>
      </w:rPr>
    </w:lvl>
    <w:lvl w:ilvl="2">
      <w:start w:val="1"/>
      <w:numFmt w:val="lowerLetter"/>
      <w:lvlText w:val="%3)"/>
      <w:lvlJc w:val="left"/>
      <w:pPr>
        <w:ind w:left="0" w:firstLine="0"/>
      </w:pPr>
      <w:rPr>
        <w:rFonts w:ascii="Times New Roman" w:hAnsi="Times New Roman" w:hint="default"/>
        <w:b w:val="0"/>
        <w:i w:val="0"/>
        <w:caps w:val="0"/>
        <w:strike w:val="0"/>
        <w:dstrike w:val="0"/>
        <w:vanish w:val="0"/>
        <w:sz w:val="22"/>
        <w:vertAlign w:val="baseline"/>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74E2421F"/>
    <w:multiLevelType w:val="multilevel"/>
    <w:tmpl w:val="0FA8ED48"/>
    <w:lvl w:ilvl="0">
      <w:start w:val="1"/>
      <w:numFmt w:val="decimal"/>
      <w:suff w:val="space"/>
      <w:lvlText w:val="%1."/>
      <w:lvlJc w:val="left"/>
      <w:pPr>
        <w:ind w:left="0" w:firstLine="0"/>
      </w:pPr>
      <w:rPr>
        <w:rFonts w:hint="default"/>
        <w:sz w:val="22"/>
      </w:rPr>
    </w:lvl>
    <w:lvl w:ilvl="1">
      <w:start w:val="1"/>
      <w:numFmt w:val="decimal"/>
      <w:suff w:val="space"/>
      <w:lvlText w:val="%2)"/>
      <w:lvlJc w:val="left"/>
      <w:pPr>
        <w:ind w:left="0" w:firstLine="0"/>
      </w:pPr>
      <w:rPr>
        <w:rFonts w:hint="default"/>
        <w:sz w:val="22"/>
      </w:rPr>
    </w:lvl>
    <w:lvl w:ilvl="2">
      <w:start w:val="1"/>
      <w:numFmt w:val="lowerLetter"/>
      <w:suff w:val="space"/>
      <w:lvlText w:val="%3)"/>
      <w:lvlJc w:val="left"/>
      <w:pPr>
        <w:ind w:left="0" w:firstLine="0"/>
      </w:pPr>
      <w:rPr>
        <w:rFonts w:hint="default"/>
      </w:rPr>
    </w:lvl>
    <w:lvl w:ilvl="3">
      <w:start w:val="1"/>
      <w:numFmt w:val="bullet"/>
      <w:suff w:val="space"/>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49"/>
    <w:rsid w:val="001573DF"/>
    <w:rsid w:val="006059D0"/>
    <w:rsid w:val="0088729D"/>
    <w:rsid w:val="00C5360D"/>
    <w:rsid w:val="00CD7049"/>
    <w:rsid w:val="00E2081F"/>
    <w:rsid w:val="00E8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40F5-2EB2-4EDF-B87A-2AFCD259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0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Porębski</dc:creator>
  <cp:keywords/>
  <dc:description/>
  <cp:lastModifiedBy>Grzegorz Porębski</cp:lastModifiedBy>
  <cp:revision>1</cp:revision>
  <dcterms:created xsi:type="dcterms:W3CDTF">2020-04-08T10:19:00Z</dcterms:created>
  <dcterms:modified xsi:type="dcterms:W3CDTF">2020-04-08T10:19:00Z</dcterms:modified>
</cp:coreProperties>
</file>