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505EB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MK.7125.60.2021.JDS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201B95A7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 xml:space="preserve">Na podstawie art.35 ustawy z dnia 21 sierpnia 1997r. o gospodarce nieruchomościami ( Dz.U. z 2020r., poz. 1990 z póź.zm.) </w:t>
      </w:r>
    </w:p>
    <w:p w14:paraId="5D48EA34" w14:textId="514DB21E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6ED02F5B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KA1C/00015232/7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G.1710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50B4518E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 w:rsidRPr="005E6380">
        <w:rPr>
          <w:rFonts w:ascii="Trebuchet MS" w:hAnsi="Trebuchet MS"/>
          <w:sz w:val="20"/>
          <w:szCs w:val="20"/>
        </w:rPr>
        <w:t xml:space="preserve">89/1000 </w:t>
      </w:r>
      <w:r>
        <w:rPr>
          <w:rFonts w:ascii="Trebuchet MS" w:hAnsi="Trebuchet MS"/>
          <w:sz w:val="20"/>
          <w:szCs w:val="20"/>
        </w:rPr>
        <w:t>we współwłasności działek o numerach ewidencyjnych: 1095/33, 1093/35, 1091/35 i 1040/33 o łącznej powierzchni 1 654m</w:t>
      </w:r>
      <w:r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6E65AFFB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Lokal mieszkalny o powierzchni użytkowej 46,75m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3,86m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6BD73005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10 usytuowany w segmencie nr 9a budynku mieszkalnym nr 9-9a, położony w Świętochłowicach przy ul. Chopina, sprzedawany jest wraz z udziałem w wysokości 89/1000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04563889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działek oznaczonych numerami ewidencyjnymi: 1095/33, 1093/35, 1091/35 i 1040/33 o łącznej powierzchni 1 654m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57F3C5D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132 547,00 zł (słownie: sto trzydzieści dwa tysiące pięćset czterdzieści siedem złotych, 00/100)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491498E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11) 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082E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4B4381"/>
    <w:rsid w:val="005E6380"/>
    <w:rsid w:val="0078381C"/>
    <w:rsid w:val="00BE7353"/>
    <w:rsid w:val="00DE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2</cp:revision>
  <cp:lastPrinted>2021-10-04T12:47:00Z</cp:lastPrinted>
  <dcterms:created xsi:type="dcterms:W3CDTF">2021-10-04T10:01:00Z</dcterms:created>
  <dcterms:modified xsi:type="dcterms:W3CDTF">2021-10-04T12:48:00Z</dcterms:modified>
</cp:coreProperties>
</file>