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49" w:rsidRPr="00661249" w:rsidRDefault="00661249" w:rsidP="00661249">
      <w:pPr>
        <w:spacing w:line="288" w:lineRule="auto"/>
        <w:jc w:val="both"/>
      </w:pPr>
      <w:r w:rsidRPr="00661249">
        <w:t>nr zamówienia ZPU.271.24.2013</w:t>
      </w:r>
    </w:p>
    <w:p w:rsidR="00661249" w:rsidRPr="00661249" w:rsidRDefault="00661249" w:rsidP="00661249">
      <w:pPr>
        <w:pStyle w:val="Tekstpodstawowy"/>
        <w:spacing w:line="288" w:lineRule="auto"/>
        <w:jc w:val="right"/>
        <w:rPr>
          <w:b/>
          <w:bCs/>
          <w:sz w:val="20"/>
          <w:szCs w:val="20"/>
        </w:rPr>
      </w:pPr>
    </w:p>
    <w:p w:rsidR="00661249" w:rsidRPr="00661249" w:rsidRDefault="00661249" w:rsidP="00661249">
      <w:pPr>
        <w:pStyle w:val="Tekstpodstawowy"/>
        <w:spacing w:line="288" w:lineRule="auto"/>
        <w:jc w:val="right"/>
        <w:rPr>
          <w:b/>
          <w:bCs/>
          <w:sz w:val="20"/>
          <w:szCs w:val="20"/>
        </w:rPr>
      </w:pPr>
    </w:p>
    <w:p w:rsidR="001A7D67" w:rsidRPr="0051400F" w:rsidRDefault="0051400F" w:rsidP="00661249">
      <w:pPr>
        <w:pStyle w:val="Tekstpodstawowy"/>
        <w:spacing w:line="288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1A7D67" w:rsidRPr="0051400F">
        <w:rPr>
          <w:bCs/>
          <w:sz w:val="20"/>
          <w:szCs w:val="20"/>
        </w:rPr>
        <w:t xml:space="preserve">ałącznik nr 8 </w:t>
      </w:r>
    </w:p>
    <w:p w:rsidR="001A7D67" w:rsidRPr="00661249" w:rsidRDefault="001A7D67" w:rsidP="00661249">
      <w:pPr>
        <w:pStyle w:val="Tekstpodstawowy"/>
        <w:spacing w:line="288" w:lineRule="auto"/>
        <w:jc w:val="center"/>
        <w:rPr>
          <w:sz w:val="20"/>
          <w:szCs w:val="20"/>
        </w:rPr>
      </w:pPr>
      <w:r w:rsidRPr="00661249">
        <w:rPr>
          <w:b/>
          <w:bCs/>
          <w:sz w:val="20"/>
          <w:szCs w:val="20"/>
        </w:rPr>
        <w:t>Istotne postanowienia umowy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Przedmiot</w:t>
      </w:r>
      <w:r w:rsidRPr="00661249">
        <w:rPr>
          <w:b/>
          <w:bCs/>
        </w:rPr>
        <w:t xml:space="preserve"> </w:t>
      </w:r>
      <w:r w:rsidRPr="00661249">
        <w:t>umowy – zgodnie z ofertą.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Umowa zostaje zawarta na okres </w:t>
      </w:r>
      <w:r w:rsidR="00C23B32" w:rsidRPr="00661249">
        <w:t xml:space="preserve">nie wcześniej niż </w:t>
      </w:r>
      <w:r w:rsidRPr="00661249">
        <w:t>od 16.07.2013  r. do 15.07.2017 r.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Zamawiający upoważnia Bank do pobierania z konta wydatków budżetowych danej jednostki oraz rachunków jednostek powiązanych z budżetem miasta opłat i prowizji za wykonywanie czynności bankowych w wysokościach określonych w ofercie.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Wyciągi bankowe będą sporządzane przez Bank każdego dnia roboczego i wydawane osobom wymienionym w karcie wzorów podpisów lub innym osobom upoważnionym przez Zamawiającego w terminie do 2 dni po dokonaniu operacji.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Bank umożliwi udostępnienie wyciągów bankowych w formie elektronicznej,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Bank umożliwi obsługę przedstawicieli </w:t>
      </w:r>
      <w:r w:rsidR="00C23B32" w:rsidRPr="00661249">
        <w:t xml:space="preserve">Zamawiającego </w:t>
      </w:r>
      <w:r w:rsidRPr="00661249">
        <w:t xml:space="preserve"> poza kolejnością,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Oprocentowanie środków na rachunku podstawowym oraz rachunkach jednostek powiązanych z budżetem miasta oraz rachunkach walutowych, a także zasady kapitalizacji odsetek strony określają zgodnie z ofertą. 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Dla określenia stopy oprocentowania środków na rachunku podstawowym oraz rachunkach jednostek powiązanych z budżetem miasta za podstawę przyjęto stopę referencyjną WIBID ON, jako średnią arytmetyczną z 10 ostatnich notowań z miesiąca poprzedzającego okres obrachunkowy,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Wysokość prowizji od limitu kredytu w rachunku podstawowym strony ustalają zgodnie z ofertą. Poza tą jednorazową prowizją bank nie będzie pobierał żadnych innych prowizji</w:t>
      </w:r>
      <w:r w:rsidR="00C23B32" w:rsidRPr="00661249">
        <w:t>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Dla określenia wysokości oprocentowania kredytu w rachunku podstawowym za podstawę przyjęto stawkę WIBOR 1M z dnia uruchomienia kredytu, zmienną w okresach miesięcznych,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Oprocentowanie kredytu będzie naliczane od kwoty faktycznie wykorzystanego limitu, 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Opłaty za korzystanie z systemu bankowości elektronicznej, systemu identyfikacji masowych płatności SIMP, z kart do obsługi świadczeń społecznych w Powiatowym Urzędzie Pracy, Ośrodku Pomocy Społecznej strony ustalają zgodnie z ofertą.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Oprocentowanie lokat: jednodniowej, tygodniowej, 1-miesięcznej, 3-miesięcznej strony ustalają zgodnie z ofertą.</w:t>
      </w:r>
    </w:p>
    <w:p w:rsidR="001A7D67" w:rsidRPr="00661249" w:rsidRDefault="001A7D67" w:rsidP="00661249">
      <w:pPr>
        <w:tabs>
          <w:tab w:val="num" w:pos="567"/>
        </w:tabs>
        <w:spacing w:line="288" w:lineRule="auto"/>
        <w:ind w:left="567" w:hanging="567"/>
        <w:jc w:val="both"/>
      </w:pPr>
      <w:r w:rsidRPr="00661249">
        <w:tab/>
        <w:t>Za podstawę oprocentowania lokat przyjęto:</w:t>
      </w:r>
    </w:p>
    <w:p w:rsidR="001A7D67" w:rsidRPr="00661249" w:rsidRDefault="001A7D67" w:rsidP="00661249">
      <w:pPr>
        <w:numPr>
          <w:ilvl w:val="0"/>
          <w:numId w:val="9"/>
        </w:numPr>
        <w:tabs>
          <w:tab w:val="num" w:pos="567"/>
        </w:tabs>
        <w:spacing w:line="288" w:lineRule="auto"/>
        <w:ind w:left="567" w:firstLine="0"/>
        <w:jc w:val="both"/>
      </w:pPr>
      <w:r w:rsidRPr="00661249">
        <w:t xml:space="preserve">dla lokaty jednodniowej automatycznej </w:t>
      </w:r>
      <w:r w:rsidRPr="00661249">
        <w:tab/>
        <w:t>– WIBID ON</w:t>
      </w:r>
    </w:p>
    <w:p w:rsidR="001A7D67" w:rsidRPr="00661249" w:rsidRDefault="001A7D67" w:rsidP="00661249">
      <w:pPr>
        <w:numPr>
          <w:ilvl w:val="0"/>
          <w:numId w:val="9"/>
        </w:numPr>
        <w:tabs>
          <w:tab w:val="num" w:pos="567"/>
        </w:tabs>
        <w:spacing w:line="288" w:lineRule="auto"/>
        <w:ind w:left="567" w:firstLine="0"/>
        <w:jc w:val="both"/>
      </w:pPr>
      <w:r w:rsidRPr="00661249">
        <w:t xml:space="preserve">dla lokaty niestandardowej tygodniowej </w:t>
      </w:r>
      <w:r w:rsidRPr="00661249">
        <w:tab/>
        <w:t>– WIBID 1 W</w:t>
      </w:r>
    </w:p>
    <w:p w:rsidR="001A7D67" w:rsidRPr="00661249" w:rsidRDefault="001A7D67" w:rsidP="00661249">
      <w:pPr>
        <w:numPr>
          <w:ilvl w:val="0"/>
          <w:numId w:val="9"/>
        </w:numPr>
        <w:tabs>
          <w:tab w:val="num" w:pos="567"/>
        </w:tabs>
        <w:spacing w:line="288" w:lineRule="auto"/>
        <w:ind w:left="567" w:firstLine="0"/>
        <w:jc w:val="both"/>
      </w:pPr>
      <w:r w:rsidRPr="00661249">
        <w:t xml:space="preserve">dla lokaty niestandardowej 1-miesięcznej </w:t>
      </w:r>
      <w:r w:rsidRPr="00661249">
        <w:tab/>
        <w:t xml:space="preserve">– WIBID 1M  </w:t>
      </w:r>
    </w:p>
    <w:p w:rsidR="001A7D67" w:rsidRPr="00661249" w:rsidRDefault="001A7D67" w:rsidP="00661249">
      <w:pPr>
        <w:numPr>
          <w:ilvl w:val="0"/>
          <w:numId w:val="9"/>
        </w:numPr>
        <w:tabs>
          <w:tab w:val="num" w:pos="567"/>
        </w:tabs>
        <w:spacing w:line="288" w:lineRule="auto"/>
        <w:ind w:left="567" w:firstLine="0"/>
        <w:jc w:val="both"/>
      </w:pPr>
      <w:r w:rsidRPr="00661249">
        <w:t xml:space="preserve">dla lokaty niestandardowej 3-miesięcznej </w:t>
      </w:r>
      <w:r w:rsidRPr="00661249">
        <w:tab/>
        <w:t>– WIBID 3M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Zamawiający zobowiązuje się do pisemnego powiadomienia banku o zmianie wszelkich danych stanowiących podstawę do otwarcia lub zamknięcia rachunków, oraz o zmianach osób upoważnionych do dysponowania rachunkami, zmiany siedziby, adresu lub numeru statystycznego. </w:t>
      </w:r>
    </w:p>
    <w:p w:rsidR="001A7D67" w:rsidRPr="00661249" w:rsidRDefault="001A7D67" w:rsidP="00661249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rPr>
          <w:sz w:val="20"/>
          <w:szCs w:val="20"/>
        </w:rPr>
      </w:pPr>
      <w:r w:rsidRPr="00661249">
        <w:rPr>
          <w:sz w:val="20"/>
          <w:szCs w:val="20"/>
        </w:rPr>
        <w:t>Bank umożliwi w razie potrzeby korzystanie z systemu identyfikacji masowych płatności – SIMP, umożliwiającego automatyczną identyfikację płatnika i rodzaju płatności na podstawie udostępnienia przez Bank odpowiedniej ilości cyfr, w ramach numeru rachunku bankowego,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Abonament miesięczny za korzystanie z bankowego systemu identyfikacji masowych płatności będzie ponoszony przez zamawiającego tylko w przypadku korzystania z tej usługi. 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Bank umożliwi w razie potrzeby korzystanie z urządzenia do przyjmowania opłat gotówkowych od klientów zamawiającego (</w:t>
      </w:r>
      <w:proofErr w:type="spellStart"/>
      <w:r w:rsidRPr="00661249">
        <w:t>opłatomat</w:t>
      </w:r>
      <w:proofErr w:type="spellEnd"/>
      <w:r w:rsidRPr="00661249">
        <w:t xml:space="preserve">), z systemu pozwalającego na dystrybucję dokumentów płatniczych w formie elektronicznej i dokonywanie płatności dzięki dostarczanej jednocześnie elektronicznej dyspozycji płatniczej (e-faktury), </w:t>
      </w:r>
      <w:r w:rsidRPr="00661249">
        <w:br/>
        <w:t xml:space="preserve">a także z usługi umożliwiającej bezpośrednią, automatyczną komunikację pomiędzy systemem </w:t>
      </w:r>
      <w:r w:rsidRPr="00661249">
        <w:lastRenderedPageBreak/>
        <w:t>finansowo-księgowym zamawiającego, a systemem bankowości elektronicznej dostarczanym przez wykonawcę (WEB service).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Abonament miesięczny oraz inne opłaty za korzystanie z urządzeń i systemów, </w:t>
      </w:r>
      <w:r w:rsidRPr="00661249">
        <w:br/>
        <w:t xml:space="preserve">o których mowa w </w:t>
      </w:r>
      <w:proofErr w:type="spellStart"/>
      <w:r w:rsidRPr="00661249">
        <w:t>pkt</w:t>
      </w:r>
      <w:proofErr w:type="spellEnd"/>
      <w:r w:rsidRPr="00661249">
        <w:t xml:space="preserve"> 1</w:t>
      </w:r>
      <w:r w:rsidR="00C23B32" w:rsidRPr="00661249">
        <w:t>7</w:t>
      </w:r>
      <w:r w:rsidRPr="00661249">
        <w:t xml:space="preserve">, </w:t>
      </w:r>
      <w:r w:rsidR="00C23B32" w:rsidRPr="00661249">
        <w:t>będzie ponoszony przez Z</w:t>
      </w:r>
      <w:r w:rsidRPr="00661249">
        <w:t>amawiającego tylko w przypadku korzystania z tych urządzeń i usług, w wysokości określonej w ofercie.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Bank zapewni wydawanie kart przepłaconych, dla obsługi świadczeń społecznych w Powiatowym Urzędzie Pracy, Ośrodku Pomocy Społecznej,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Jeżeli w trakcie trwania umowy powstaną, utworzą się lub zostaną przekazane miastu inne jednostki organizacyjne mające powiązanie z bankową obsługą budżetu miasta, zostaną one włączone do tej obsługi na zasadach określonych w ofercie,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Potwierdzenia salda rachunków walutowych będą sporządzane do 5 dnia następnego miesiąca,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Bank umożliwi odbiór wyciągów z rachunków bankowych dotyczących funduszy unijnych w terminie do 2 dni po dokonaniu operacji,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Bank zapewni miesięczną kapitalizację odsetek na rachunkach walutowych,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Bank umożliwi negocjację kursów walutowych do przeliczeń w rozliczeniach bieżących dla kwot od 5 000 USD lub równowartości w innej walucie,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Zmiana stanu (liczby) rachunków bankowych oraz form organizacyjnych jednostek powiązanych z budżetem miasta nie spowoduje zmiany opłat lub prowizji płaconych bankowi, a zaproponowanych w ofercie,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Zmiana określona w punkcie 1</w:t>
      </w:r>
      <w:r w:rsidR="00C23B32" w:rsidRPr="00661249">
        <w:t>4</w:t>
      </w:r>
      <w:r w:rsidRPr="00661249">
        <w:t xml:space="preserve"> nie powoduje zmiany w umowie oraz sporządzenia aneksu do umowy,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>Sprawy sporne wynikające z niniejszej umowy rozstrzygane będą przez Sąd właściwy dla siedziby zamawiającego,</w:t>
      </w:r>
    </w:p>
    <w:p w:rsidR="001A7D67" w:rsidRPr="00661249" w:rsidRDefault="001A7D67" w:rsidP="00661249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</w:pPr>
      <w:r w:rsidRPr="00661249">
        <w:t xml:space="preserve">Integralną część umowy stanowi wykaz jednostek organizacyjnych powiązanych </w:t>
      </w:r>
      <w:r w:rsidRPr="00661249">
        <w:br/>
        <w:t xml:space="preserve">z budżetem miasta, dla których prowadzone są rachunki wchodzące w zakres bankowej obsługi budżetu miasta </w:t>
      </w:r>
      <w:r w:rsidR="00C23B32" w:rsidRPr="00661249">
        <w:t>.</w:t>
      </w:r>
    </w:p>
    <w:sectPr w:rsidR="001A7D67" w:rsidRPr="00661249" w:rsidSect="0012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5F" w:rsidRDefault="0092065F">
      <w:r>
        <w:separator/>
      </w:r>
    </w:p>
  </w:endnote>
  <w:endnote w:type="continuationSeparator" w:id="0">
    <w:p w:rsidR="0092065F" w:rsidRDefault="0092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49" w:rsidRDefault="006612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67" w:rsidRDefault="001A7D67" w:rsidP="00126CA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49" w:rsidRDefault="001A67D6">
    <w:pPr>
      <w:pStyle w:val="Stopka"/>
      <w:jc w:val="right"/>
    </w:pPr>
    <w:fldSimple w:instr=" PAGE   \* MERGEFORMAT ">
      <w:r w:rsidR="0051400F">
        <w:rPr>
          <w:noProof/>
        </w:rPr>
        <w:t>1</w:t>
      </w:r>
    </w:fldSimple>
  </w:p>
  <w:p w:rsidR="00661249" w:rsidRDefault="00661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5F" w:rsidRDefault="0092065F">
      <w:r>
        <w:separator/>
      </w:r>
    </w:p>
  </w:footnote>
  <w:footnote w:type="continuationSeparator" w:id="0">
    <w:p w:rsidR="0092065F" w:rsidRDefault="0092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49" w:rsidRDefault="006612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49" w:rsidRDefault="006612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49" w:rsidRDefault="006612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18"/>
    <w:multiLevelType w:val="hybridMultilevel"/>
    <w:tmpl w:val="4DF28AB8"/>
    <w:lvl w:ilvl="0" w:tplc="398A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F0402"/>
    <w:multiLevelType w:val="hybridMultilevel"/>
    <w:tmpl w:val="E6C26082"/>
    <w:lvl w:ilvl="0" w:tplc="F1C0E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4505972"/>
    <w:multiLevelType w:val="multilevel"/>
    <w:tmpl w:val="0E42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8A2087"/>
    <w:multiLevelType w:val="multilevel"/>
    <w:tmpl w:val="96CA6F7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65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C70851"/>
    <w:multiLevelType w:val="multilevel"/>
    <w:tmpl w:val="B40E1EA0"/>
    <w:lvl w:ilvl="0">
      <w:start w:val="1"/>
      <w:numFmt w:val="upperRoman"/>
      <w:pStyle w:val="Wykazkon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2206EF"/>
    <w:multiLevelType w:val="multilevel"/>
    <w:tmpl w:val="6ACC8E04"/>
    <w:lvl w:ilvl="0">
      <w:start w:val="1"/>
      <w:numFmt w:val="upperRoman"/>
      <w:pStyle w:val="wykazkont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60421B9B"/>
    <w:multiLevelType w:val="hybridMultilevel"/>
    <w:tmpl w:val="32369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63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AEBB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77265"/>
    <w:multiLevelType w:val="hybridMultilevel"/>
    <w:tmpl w:val="B200172A"/>
    <w:lvl w:ilvl="0" w:tplc="F1C0ED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B9D0B92"/>
    <w:multiLevelType w:val="hybridMultilevel"/>
    <w:tmpl w:val="A3440A96"/>
    <w:lvl w:ilvl="0" w:tplc="398A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29EA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5D"/>
    <w:rsid w:val="000433BA"/>
    <w:rsid w:val="00075558"/>
    <w:rsid w:val="00097886"/>
    <w:rsid w:val="000A091A"/>
    <w:rsid w:val="000C6B63"/>
    <w:rsid w:val="000D7EEF"/>
    <w:rsid w:val="00113383"/>
    <w:rsid w:val="001268EB"/>
    <w:rsid w:val="00126CA2"/>
    <w:rsid w:val="001A67D6"/>
    <w:rsid w:val="001A7D67"/>
    <w:rsid w:val="0021268A"/>
    <w:rsid w:val="00217037"/>
    <w:rsid w:val="002F777A"/>
    <w:rsid w:val="00321F5A"/>
    <w:rsid w:val="00343AD0"/>
    <w:rsid w:val="00344FEF"/>
    <w:rsid w:val="00346996"/>
    <w:rsid w:val="003C7183"/>
    <w:rsid w:val="003E088A"/>
    <w:rsid w:val="0043143E"/>
    <w:rsid w:val="004A2BF0"/>
    <w:rsid w:val="004F7606"/>
    <w:rsid w:val="0051400F"/>
    <w:rsid w:val="0053716B"/>
    <w:rsid w:val="005A143A"/>
    <w:rsid w:val="005B3D5E"/>
    <w:rsid w:val="005C54DA"/>
    <w:rsid w:val="006277A5"/>
    <w:rsid w:val="00635213"/>
    <w:rsid w:val="0065695E"/>
    <w:rsid w:val="00661249"/>
    <w:rsid w:val="00677FED"/>
    <w:rsid w:val="006B23C3"/>
    <w:rsid w:val="006C53A2"/>
    <w:rsid w:val="006D7DF7"/>
    <w:rsid w:val="0071474A"/>
    <w:rsid w:val="00714AD4"/>
    <w:rsid w:val="00756613"/>
    <w:rsid w:val="00756655"/>
    <w:rsid w:val="008C405D"/>
    <w:rsid w:val="0092065F"/>
    <w:rsid w:val="00932A9A"/>
    <w:rsid w:val="009663D1"/>
    <w:rsid w:val="009829B3"/>
    <w:rsid w:val="009E5DAB"/>
    <w:rsid w:val="009F1E42"/>
    <w:rsid w:val="00A92114"/>
    <w:rsid w:val="00AA5225"/>
    <w:rsid w:val="00B539F8"/>
    <w:rsid w:val="00B54298"/>
    <w:rsid w:val="00BB41BB"/>
    <w:rsid w:val="00BC76D0"/>
    <w:rsid w:val="00BC7834"/>
    <w:rsid w:val="00C109A7"/>
    <w:rsid w:val="00C23B32"/>
    <w:rsid w:val="00C3194F"/>
    <w:rsid w:val="00C3762E"/>
    <w:rsid w:val="00C6239A"/>
    <w:rsid w:val="00CA3055"/>
    <w:rsid w:val="00CE4D0A"/>
    <w:rsid w:val="00D2147E"/>
    <w:rsid w:val="00D33AE1"/>
    <w:rsid w:val="00D40741"/>
    <w:rsid w:val="00D40DE7"/>
    <w:rsid w:val="00E30AA6"/>
    <w:rsid w:val="00EF77F0"/>
    <w:rsid w:val="00F2346F"/>
    <w:rsid w:val="00F760D2"/>
    <w:rsid w:val="00FB5941"/>
    <w:rsid w:val="00FE2B0E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5D"/>
  </w:style>
  <w:style w:type="paragraph" w:styleId="Nagwek1">
    <w:name w:val="heading 1"/>
    <w:basedOn w:val="Normalny"/>
    <w:next w:val="Normalny"/>
    <w:link w:val="Nagwek1Znak"/>
    <w:uiPriority w:val="99"/>
    <w:qFormat/>
    <w:rsid w:val="0043143E"/>
    <w:pPr>
      <w:keepNext/>
      <w:numPr>
        <w:numId w:val="11"/>
      </w:numPr>
      <w:outlineLvl w:val="0"/>
    </w:pPr>
    <w:rPr>
      <w:rFonts w:ascii="Arial Black" w:hAnsi="Arial Black" w:cs="Arial Black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31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lankont">
    <w:name w:val="Plan kont"/>
    <w:basedOn w:val="Nagwek"/>
    <w:autoRedefine/>
    <w:uiPriority w:val="99"/>
    <w:rsid w:val="00714AD4"/>
    <w:pPr>
      <w:spacing w:before="240" w:after="12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71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175"/>
    <w:rPr>
      <w:sz w:val="20"/>
      <w:szCs w:val="20"/>
    </w:rPr>
  </w:style>
  <w:style w:type="paragraph" w:customStyle="1" w:styleId="plankont2">
    <w:name w:val="plan kont 2"/>
    <w:basedOn w:val="Plankont"/>
    <w:autoRedefine/>
    <w:uiPriority w:val="99"/>
    <w:rsid w:val="00714AD4"/>
    <w:pPr>
      <w:ind w:left="397"/>
    </w:pPr>
  </w:style>
  <w:style w:type="paragraph" w:customStyle="1" w:styleId="Plankont3">
    <w:name w:val="Plan kont 3"/>
    <w:basedOn w:val="Nagwek3"/>
    <w:autoRedefine/>
    <w:uiPriority w:val="99"/>
    <w:rsid w:val="00714AD4"/>
    <w:pPr>
      <w:jc w:val="center"/>
    </w:pPr>
    <w:rPr>
      <w:b w:val="0"/>
      <w:bCs w:val="0"/>
      <w:sz w:val="20"/>
      <w:szCs w:val="20"/>
    </w:rPr>
  </w:style>
  <w:style w:type="paragraph" w:customStyle="1" w:styleId="Plankont4">
    <w:name w:val="Plan kont 4"/>
    <w:basedOn w:val="Plankont3"/>
    <w:autoRedefine/>
    <w:uiPriority w:val="99"/>
    <w:rsid w:val="00714AD4"/>
    <w:pPr>
      <w:outlineLvl w:val="3"/>
    </w:pPr>
    <w:rPr>
      <w:u w:val="single"/>
    </w:rPr>
  </w:style>
  <w:style w:type="paragraph" w:customStyle="1" w:styleId="Plankont31">
    <w:name w:val="Plan kont 3.1"/>
    <w:basedOn w:val="Nagwek3"/>
    <w:autoRedefine/>
    <w:uiPriority w:val="99"/>
    <w:rsid w:val="00714AD4"/>
    <w:pPr>
      <w:spacing w:before="360" w:after="120"/>
    </w:pPr>
    <w:rPr>
      <w:sz w:val="20"/>
      <w:szCs w:val="20"/>
      <w:u w:val="single"/>
    </w:rPr>
  </w:style>
  <w:style w:type="paragraph" w:customStyle="1" w:styleId="Wykazkont">
    <w:name w:val="Wykaz kont"/>
    <w:basedOn w:val="Normalny"/>
    <w:uiPriority w:val="99"/>
    <w:rsid w:val="000433BA"/>
    <w:pPr>
      <w:numPr>
        <w:numId w:val="5"/>
      </w:numPr>
      <w:spacing w:before="120" w:after="120"/>
    </w:pPr>
    <w:rPr>
      <w:rFonts w:ascii="Arial" w:hAnsi="Arial" w:cs="Arial"/>
      <w:b/>
      <w:bCs/>
    </w:rPr>
  </w:style>
  <w:style w:type="paragraph" w:customStyle="1" w:styleId="wykazkont0">
    <w:name w:val="wykaz kont"/>
    <w:basedOn w:val="Normalny"/>
    <w:uiPriority w:val="99"/>
    <w:rsid w:val="000433BA"/>
    <w:pPr>
      <w:numPr>
        <w:numId w:val="4"/>
      </w:numPr>
      <w:spacing w:before="120" w:after="120"/>
    </w:pPr>
    <w:rPr>
      <w:rFonts w:ascii="Arial" w:hAnsi="Arial" w:cs="Arial"/>
      <w:b/>
      <w:bCs/>
    </w:rPr>
  </w:style>
  <w:style w:type="paragraph" w:customStyle="1" w:styleId="konto">
    <w:name w:val="konto"/>
    <w:basedOn w:val="Normalny"/>
    <w:uiPriority w:val="99"/>
    <w:rsid w:val="00097886"/>
    <w:pPr>
      <w:spacing w:before="100" w:beforeAutospacing="1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99"/>
    <w:rsid w:val="008C40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17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26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175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12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8314-C055-41EF-9B46-341B8DCB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zamawiającego postanowienia, które wprowadzone zostaną do treści umowy, jaka zostanie podpisana z podmiotem wyłonionym w trakcie postępowania przetargowego na wykonywanie bankowej obsługi budżetu Świętochłowic - miasta na prawach powiatu</dc:title>
  <dc:subject/>
  <dc:creator>Jacek Kamiński UM WF</dc:creator>
  <cp:keywords/>
  <dc:description/>
  <cp:lastModifiedBy>preinstalacja</cp:lastModifiedBy>
  <cp:revision>12</cp:revision>
  <cp:lastPrinted>2013-05-22T13:28:00Z</cp:lastPrinted>
  <dcterms:created xsi:type="dcterms:W3CDTF">2013-05-20T14:46:00Z</dcterms:created>
  <dcterms:modified xsi:type="dcterms:W3CDTF">2013-06-03T10:22:00Z</dcterms:modified>
</cp:coreProperties>
</file>